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2B2A" w14:textId="7903C670" w:rsidR="54A12B52" w:rsidRDefault="54A12B52" w:rsidP="04968161">
      <w:pPr>
        <w:pStyle w:val="BodyText"/>
        <w:contextualSpacing/>
        <w:jc w:val="center"/>
        <w:rPr>
          <w:rFonts w:ascii="Times New Roman"/>
        </w:rPr>
      </w:pPr>
      <w:r w:rsidRPr="04968161">
        <w:rPr>
          <w:b/>
          <w:bCs/>
        </w:rPr>
        <w:t xml:space="preserve">Commissioning Submittal Requirements for the </w:t>
      </w:r>
    </w:p>
    <w:p w14:paraId="34368A64" w14:textId="5A47BD1C" w:rsidR="54A12B52" w:rsidRDefault="54A12B52" w:rsidP="04968161">
      <w:pPr>
        <w:pStyle w:val="BodyText"/>
        <w:contextualSpacing/>
        <w:jc w:val="center"/>
        <w:rPr>
          <w:b/>
          <w:bCs/>
        </w:rPr>
      </w:pPr>
      <w:r w:rsidRPr="04968161">
        <w:rPr>
          <w:b/>
          <w:bCs/>
        </w:rPr>
        <w:t>2024 Boulder Energy Code Commercial Provisions</w:t>
      </w:r>
    </w:p>
    <w:p w14:paraId="5DAB6C7B" w14:textId="21FAFC20" w:rsidR="009B6420" w:rsidRDefault="009B6420" w:rsidP="04968161">
      <w:pPr>
        <w:pStyle w:val="BodyText"/>
        <w:contextualSpacing/>
        <w:rPr>
          <w:b/>
          <w:bCs/>
        </w:rPr>
      </w:pPr>
    </w:p>
    <w:p w14:paraId="7BF669E1" w14:textId="77777777" w:rsidR="009B6420" w:rsidRDefault="00C8672A" w:rsidP="04968161">
      <w:pPr>
        <w:pStyle w:val="Heading1"/>
        <w:spacing w:before="0"/>
        <w:ind w:left="0"/>
        <w:contextualSpacing/>
      </w:pPr>
      <w:bookmarkStart w:id="0" w:name="SCOPE"/>
      <w:bookmarkEnd w:id="0"/>
      <w:r>
        <w:rPr>
          <w:spacing w:val="-2"/>
        </w:rPr>
        <w:t>SCOPE</w:t>
      </w:r>
    </w:p>
    <w:p w14:paraId="02EB378F" w14:textId="77777777" w:rsidR="009B6420" w:rsidRDefault="009B6420" w:rsidP="04968161">
      <w:pPr>
        <w:pStyle w:val="BodyText"/>
        <w:contextualSpacing/>
        <w:rPr>
          <w:b/>
          <w:bCs/>
        </w:rPr>
      </w:pPr>
    </w:p>
    <w:p w14:paraId="39F034DD" w14:textId="2C2BD42D" w:rsidR="009B6420" w:rsidRDefault="00C8672A" w:rsidP="04968161">
      <w:pPr>
        <w:pStyle w:val="BodyText"/>
        <w:ind w:right="435"/>
        <w:contextualSpacing/>
        <w:jc w:val="both"/>
      </w:pPr>
      <w:r>
        <w:t>The</w:t>
      </w:r>
      <w:r>
        <w:rPr>
          <w:spacing w:val="-9"/>
        </w:rPr>
        <w:t xml:space="preserve"> </w:t>
      </w:r>
      <w:r>
        <w:t>202</w:t>
      </w:r>
      <w:r w:rsidR="61A7303C">
        <w:t>4</w:t>
      </w:r>
      <w:r>
        <w:rPr>
          <w:spacing w:val="-12"/>
        </w:rPr>
        <w:t xml:space="preserve"> </w:t>
      </w:r>
      <w:r w:rsidR="25FBC14D">
        <w:rPr>
          <w:spacing w:val="-12"/>
        </w:rPr>
        <w:t xml:space="preserve">City of </w:t>
      </w:r>
      <w:r w:rsidR="04820C2F">
        <w:rPr>
          <w:spacing w:val="-12"/>
        </w:rPr>
        <w:t xml:space="preserve">Boulder </w:t>
      </w:r>
      <w:r>
        <w:t>Energy</w:t>
      </w:r>
      <w:r w:rsidR="455FCED5">
        <w:t xml:space="preserve"> Conservation</w:t>
      </w:r>
      <w:r>
        <w:rPr>
          <w:spacing w:val="-8"/>
        </w:rPr>
        <w:t xml:space="preserve"> </w:t>
      </w:r>
      <w:r>
        <w:t>Code</w:t>
      </w:r>
      <w:r>
        <w:rPr>
          <w:spacing w:val="-9"/>
        </w:rPr>
        <w:t xml:space="preserve"> </w:t>
      </w:r>
      <w:r>
        <w:t>(</w:t>
      </w:r>
      <w:proofErr w:type="spellStart"/>
      <w:r>
        <w:t>C</w:t>
      </w:r>
      <w:r w:rsidR="2F1D97E5">
        <w:t>oBECC</w:t>
      </w:r>
      <w:proofErr w:type="spellEnd"/>
      <w:r>
        <w:t>)</w:t>
      </w:r>
      <w:r>
        <w:rPr>
          <w:spacing w:val="-12"/>
        </w:rPr>
        <w:t xml:space="preserve"> </w:t>
      </w:r>
      <w:r>
        <w:t>contains</w:t>
      </w:r>
      <w:r>
        <w:rPr>
          <w:spacing w:val="-12"/>
        </w:rPr>
        <w:t xml:space="preserve"> </w:t>
      </w:r>
      <w:r>
        <w:t>separate</w:t>
      </w:r>
      <w:r>
        <w:rPr>
          <w:spacing w:val="-12"/>
        </w:rPr>
        <w:t xml:space="preserve"> </w:t>
      </w:r>
      <w:r>
        <w:t>provisions</w:t>
      </w:r>
      <w:r>
        <w:rPr>
          <w:spacing w:val="-10"/>
        </w:rPr>
        <w:t xml:space="preserve"> </w:t>
      </w:r>
      <w:r>
        <w:t>for</w:t>
      </w:r>
      <w:r>
        <w:rPr>
          <w:spacing w:val="-10"/>
        </w:rPr>
        <w:t xml:space="preserve"> </w:t>
      </w:r>
      <w:r w:rsidRPr="3F6E41A3">
        <w:rPr>
          <w:i/>
          <w:iCs/>
        </w:rPr>
        <w:t>commercial</w:t>
      </w:r>
      <w:r w:rsidRPr="3F6E41A3">
        <w:rPr>
          <w:i/>
          <w:iCs/>
          <w:spacing w:val="-10"/>
        </w:rPr>
        <w:t xml:space="preserve"> </w:t>
      </w:r>
      <w:r w:rsidRPr="3F6E41A3">
        <w:rPr>
          <w:i/>
          <w:iCs/>
        </w:rPr>
        <w:t>buildings</w:t>
      </w:r>
      <w:r w:rsidRPr="3F6E41A3">
        <w:rPr>
          <w:i/>
          <w:iCs/>
          <w:spacing w:val="-9"/>
        </w:rPr>
        <w:t xml:space="preserve"> </w:t>
      </w:r>
      <w:r>
        <w:t>and</w:t>
      </w:r>
      <w:r>
        <w:rPr>
          <w:spacing w:val="-11"/>
        </w:rPr>
        <w:t xml:space="preserve"> </w:t>
      </w:r>
      <w:r w:rsidRPr="3F6E41A3">
        <w:rPr>
          <w:i/>
          <w:iCs/>
        </w:rPr>
        <w:t>residential buildings</w:t>
      </w:r>
      <w:r>
        <w:t xml:space="preserve">. This policy outlines </w:t>
      </w:r>
      <w:r w:rsidRPr="3F6E41A3">
        <w:rPr>
          <w:i/>
          <w:iCs/>
        </w:rPr>
        <w:t xml:space="preserve">approved agency </w:t>
      </w:r>
      <w:r>
        <w:t>qualification requirements for building enclosure performance</w:t>
      </w:r>
      <w:r>
        <w:rPr>
          <w:spacing w:val="-13"/>
        </w:rPr>
        <w:t xml:space="preserve"> </w:t>
      </w:r>
      <w:r>
        <w:t>verification</w:t>
      </w:r>
      <w:r>
        <w:rPr>
          <w:spacing w:val="-12"/>
        </w:rPr>
        <w:t xml:space="preserve"> </w:t>
      </w:r>
      <w:r>
        <w:t>in</w:t>
      </w:r>
      <w:r>
        <w:rPr>
          <w:spacing w:val="-13"/>
        </w:rPr>
        <w:t xml:space="preserve"> </w:t>
      </w:r>
      <w:r>
        <w:t>accordance</w:t>
      </w:r>
      <w:r>
        <w:rPr>
          <w:spacing w:val="-12"/>
        </w:rPr>
        <w:t xml:space="preserve"> </w:t>
      </w:r>
      <w:r>
        <w:t>with</w:t>
      </w:r>
      <w:r>
        <w:rPr>
          <w:spacing w:val="-11"/>
        </w:rPr>
        <w:t xml:space="preserve"> </w:t>
      </w:r>
      <w:r>
        <w:t>C402.5.1.5,</w:t>
      </w:r>
      <w:r>
        <w:rPr>
          <w:spacing w:val="-11"/>
        </w:rPr>
        <w:t xml:space="preserve"> </w:t>
      </w:r>
      <w:r>
        <w:t>systems</w:t>
      </w:r>
      <w:r>
        <w:rPr>
          <w:spacing w:val="-11"/>
        </w:rPr>
        <w:t xml:space="preserve"> </w:t>
      </w:r>
      <w:r>
        <w:t>commissioning</w:t>
      </w:r>
      <w:r>
        <w:rPr>
          <w:spacing w:val="-12"/>
        </w:rPr>
        <w:t xml:space="preserve"> </w:t>
      </w:r>
      <w:r>
        <w:t>in</w:t>
      </w:r>
      <w:r>
        <w:rPr>
          <w:spacing w:val="-12"/>
        </w:rPr>
        <w:t xml:space="preserve"> </w:t>
      </w:r>
      <w:r>
        <w:t>accordance</w:t>
      </w:r>
      <w:r>
        <w:rPr>
          <w:spacing w:val="-13"/>
        </w:rPr>
        <w:t xml:space="preserve"> </w:t>
      </w:r>
      <w:r>
        <w:t>with</w:t>
      </w:r>
      <w:r>
        <w:rPr>
          <w:spacing w:val="-11"/>
        </w:rPr>
        <w:t xml:space="preserve"> </w:t>
      </w:r>
      <w:r>
        <w:t>C408, and the commissioning letter needed to demonstrate compliance with the 202</w:t>
      </w:r>
      <w:r w:rsidR="0A8F19AF">
        <w:t>4</w:t>
      </w:r>
      <w:r>
        <w:t xml:space="preserve"> </w:t>
      </w:r>
      <w:r w:rsidR="70A43429">
        <w:t xml:space="preserve">Boulder </w:t>
      </w:r>
      <w:r>
        <w:t xml:space="preserve">Energy Code </w:t>
      </w:r>
      <w:r w:rsidRPr="3F6E41A3">
        <w:rPr>
          <w:i/>
          <w:iCs/>
        </w:rPr>
        <w:t>commercial</w:t>
      </w:r>
      <w:r w:rsidRPr="3F6E41A3">
        <w:rPr>
          <w:i/>
          <w:iCs/>
          <w:spacing w:val="-14"/>
        </w:rPr>
        <w:t xml:space="preserve"> </w:t>
      </w:r>
      <w:r w:rsidRPr="3F6E41A3">
        <w:rPr>
          <w:i/>
          <w:iCs/>
        </w:rPr>
        <w:t>provisions</w:t>
      </w:r>
      <w:r>
        <w:t>.</w:t>
      </w:r>
    </w:p>
    <w:p w14:paraId="5A39BBE3" w14:textId="77777777" w:rsidR="009B6420" w:rsidRDefault="009B6420" w:rsidP="04968161">
      <w:pPr>
        <w:pStyle w:val="BodyText"/>
        <w:contextualSpacing/>
      </w:pPr>
    </w:p>
    <w:p w14:paraId="398A892B" w14:textId="77777777" w:rsidR="009B6420" w:rsidRDefault="00C8672A" w:rsidP="04968161">
      <w:pPr>
        <w:pStyle w:val="Heading1"/>
        <w:spacing w:before="0"/>
        <w:ind w:left="0"/>
        <w:contextualSpacing/>
      </w:pPr>
      <w:bookmarkStart w:id="1" w:name="APPLICABILITY"/>
      <w:bookmarkEnd w:id="1"/>
      <w:r>
        <w:rPr>
          <w:spacing w:val="-2"/>
        </w:rPr>
        <w:t>APPLICABILITY</w:t>
      </w:r>
    </w:p>
    <w:p w14:paraId="41C8F396" w14:textId="77777777" w:rsidR="009B6420" w:rsidRDefault="009B6420" w:rsidP="04968161">
      <w:pPr>
        <w:pStyle w:val="BodyText"/>
        <w:contextualSpacing/>
        <w:rPr>
          <w:b/>
          <w:bCs/>
        </w:rPr>
      </w:pPr>
    </w:p>
    <w:p w14:paraId="060123FE" w14:textId="53FD867E" w:rsidR="009B6420" w:rsidRDefault="00C8672A" w:rsidP="04968161">
      <w:pPr>
        <w:pStyle w:val="BodyText"/>
        <w:ind w:right="443"/>
        <w:contextualSpacing/>
        <w:jc w:val="both"/>
      </w:pPr>
      <w:r>
        <w:t>The</w:t>
      </w:r>
      <w:r>
        <w:rPr>
          <w:spacing w:val="-13"/>
        </w:rPr>
        <w:t xml:space="preserve"> </w:t>
      </w:r>
      <w:r>
        <w:t>202</w:t>
      </w:r>
      <w:r w:rsidR="405D6D85">
        <w:t>4</w:t>
      </w:r>
      <w:r>
        <w:rPr>
          <w:spacing w:val="-7"/>
        </w:rPr>
        <w:t xml:space="preserve"> </w:t>
      </w:r>
      <w:r w:rsidR="00B16B20">
        <w:rPr>
          <w:spacing w:val="-7"/>
        </w:rPr>
        <w:t xml:space="preserve">Boulder </w:t>
      </w:r>
      <w:r>
        <w:t>Energy</w:t>
      </w:r>
      <w:r>
        <w:rPr>
          <w:spacing w:val="-3"/>
        </w:rPr>
        <w:t xml:space="preserve"> </w:t>
      </w:r>
      <w:r>
        <w:t>Code</w:t>
      </w:r>
      <w:r>
        <w:rPr>
          <w:spacing w:val="-11"/>
        </w:rPr>
        <w:t xml:space="preserve"> </w:t>
      </w:r>
      <w:r>
        <w:t>addresses</w:t>
      </w:r>
      <w:r>
        <w:rPr>
          <w:spacing w:val="-11"/>
        </w:rPr>
        <w:t xml:space="preserve"> </w:t>
      </w:r>
      <w:r>
        <w:t>the</w:t>
      </w:r>
      <w:r>
        <w:rPr>
          <w:spacing w:val="-13"/>
        </w:rPr>
        <w:t xml:space="preserve"> </w:t>
      </w:r>
      <w:r>
        <w:t>design</w:t>
      </w:r>
      <w:r>
        <w:rPr>
          <w:spacing w:val="-12"/>
        </w:rPr>
        <w:t xml:space="preserve"> </w:t>
      </w:r>
      <w:r>
        <w:t>of</w:t>
      </w:r>
      <w:r>
        <w:rPr>
          <w:spacing w:val="-12"/>
        </w:rPr>
        <w:t xml:space="preserve"> </w:t>
      </w:r>
      <w:r>
        <w:t>an</w:t>
      </w:r>
      <w:r>
        <w:rPr>
          <w:spacing w:val="-12"/>
        </w:rPr>
        <w:t xml:space="preserve"> </w:t>
      </w:r>
      <w:r>
        <w:t>energy-efficient</w:t>
      </w:r>
      <w:r>
        <w:rPr>
          <w:spacing w:val="-13"/>
        </w:rPr>
        <w:t xml:space="preserve"> </w:t>
      </w:r>
      <w:r>
        <w:t>building</w:t>
      </w:r>
      <w:r>
        <w:rPr>
          <w:spacing w:val="-11"/>
        </w:rPr>
        <w:t xml:space="preserve"> </w:t>
      </w:r>
      <w:r>
        <w:t>envelope</w:t>
      </w:r>
      <w:r>
        <w:rPr>
          <w:spacing w:val="-13"/>
        </w:rPr>
        <w:t xml:space="preserve"> </w:t>
      </w:r>
      <w:r>
        <w:t>(consisting</w:t>
      </w:r>
      <w:r>
        <w:rPr>
          <w:spacing w:val="-12"/>
        </w:rPr>
        <w:t xml:space="preserve"> </w:t>
      </w:r>
      <w:r>
        <w:t>of the</w:t>
      </w:r>
      <w:r>
        <w:rPr>
          <w:spacing w:val="-13"/>
        </w:rPr>
        <w:t xml:space="preserve"> </w:t>
      </w:r>
      <w:r>
        <w:t>roof</w:t>
      </w:r>
      <w:r>
        <w:rPr>
          <w:spacing w:val="-10"/>
        </w:rPr>
        <w:t xml:space="preserve"> </w:t>
      </w:r>
      <w:r>
        <w:t>and</w:t>
      </w:r>
      <w:r>
        <w:rPr>
          <w:spacing w:val="-13"/>
        </w:rPr>
        <w:t xml:space="preserve"> </w:t>
      </w:r>
      <w:r>
        <w:t>ceiling,</w:t>
      </w:r>
      <w:r>
        <w:rPr>
          <w:spacing w:val="-6"/>
        </w:rPr>
        <w:t xml:space="preserve"> </w:t>
      </w:r>
      <w:r>
        <w:t>walls,</w:t>
      </w:r>
      <w:r>
        <w:rPr>
          <w:spacing w:val="-9"/>
        </w:rPr>
        <w:t xml:space="preserve"> </w:t>
      </w:r>
      <w:r>
        <w:t>floors,</w:t>
      </w:r>
      <w:r>
        <w:rPr>
          <w:spacing w:val="-9"/>
        </w:rPr>
        <w:t xml:space="preserve"> </w:t>
      </w:r>
      <w:r>
        <w:t>and</w:t>
      </w:r>
      <w:r>
        <w:rPr>
          <w:spacing w:val="-10"/>
        </w:rPr>
        <w:t xml:space="preserve"> </w:t>
      </w:r>
      <w:r>
        <w:t>foundation</w:t>
      </w:r>
      <w:r>
        <w:rPr>
          <w:spacing w:val="-12"/>
        </w:rPr>
        <w:t xml:space="preserve"> </w:t>
      </w:r>
      <w:r>
        <w:t>assemblies</w:t>
      </w:r>
      <w:r>
        <w:rPr>
          <w:spacing w:val="-9"/>
        </w:rPr>
        <w:t xml:space="preserve"> </w:t>
      </w:r>
      <w:r>
        <w:t>that</w:t>
      </w:r>
      <w:r>
        <w:rPr>
          <w:spacing w:val="-8"/>
        </w:rPr>
        <w:t xml:space="preserve"> </w:t>
      </w:r>
      <w:r>
        <w:t>surround</w:t>
      </w:r>
      <w:r>
        <w:rPr>
          <w:spacing w:val="-7"/>
        </w:rPr>
        <w:t xml:space="preserve"> </w:t>
      </w:r>
      <w:r>
        <w:t>the</w:t>
      </w:r>
      <w:r>
        <w:rPr>
          <w:spacing w:val="-8"/>
        </w:rPr>
        <w:t xml:space="preserve"> </w:t>
      </w:r>
      <w:r>
        <w:t>conditioned</w:t>
      </w:r>
      <w:r>
        <w:rPr>
          <w:spacing w:val="-12"/>
        </w:rPr>
        <w:t xml:space="preserve"> </w:t>
      </w:r>
      <w:r>
        <w:t>space)</w:t>
      </w:r>
      <w:r>
        <w:rPr>
          <w:spacing w:val="-6"/>
        </w:rPr>
        <w:t xml:space="preserve"> </w:t>
      </w:r>
      <w:r>
        <w:t>as</w:t>
      </w:r>
      <w:r>
        <w:rPr>
          <w:spacing w:val="-7"/>
        </w:rPr>
        <w:t xml:space="preserve"> </w:t>
      </w:r>
      <w:r>
        <w:t xml:space="preserve">well as the selection and installation of energy-efficient mechanical, lighting, and service water-heating </w:t>
      </w:r>
      <w:r>
        <w:rPr>
          <w:spacing w:val="-2"/>
        </w:rPr>
        <w:t>systems.</w:t>
      </w:r>
    </w:p>
    <w:p w14:paraId="72A3D3EC" w14:textId="77777777" w:rsidR="009B6420" w:rsidRDefault="009B6420" w:rsidP="04968161">
      <w:pPr>
        <w:pStyle w:val="BodyText"/>
        <w:contextualSpacing/>
      </w:pPr>
    </w:p>
    <w:p w14:paraId="243833B7" w14:textId="11609DCC" w:rsidR="009B6420" w:rsidRDefault="00C8672A" w:rsidP="04968161">
      <w:pPr>
        <w:pStyle w:val="BodyText"/>
        <w:ind w:right="438"/>
        <w:contextualSpacing/>
        <w:jc w:val="both"/>
      </w:pPr>
      <w:r>
        <w:t>The</w:t>
      </w:r>
      <w:r>
        <w:rPr>
          <w:spacing w:val="-11"/>
        </w:rPr>
        <w:t xml:space="preserve"> </w:t>
      </w:r>
      <w:r w:rsidRPr="04968161">
        <w:rPr>
          <w:i/>
          <w:iCs/>
        </w:rPr>
        <w:t>commercial</w:t>
      </w:r>
      <w:r w:rsidRPr="04968161">
        <w:rPr>
          <w:i/>
          <w:iCs/>
          <w:spacing w:val="-12"/>
        </w:rPr>
        <w:t xml:space="preserve"> </w:t>
      </w:r>
      <w:r w:rsidRPr="04968161">
        <w:rPr>
          <w:i/>
          <w:iCs/>
        </w:rPr>
        <w:t>provisions</w:t>
      </w:r>
      <w:r w:rsidRPr="04968161">
        <w:rPr>
          <w:i/>
          <w:iCs/>
          <w:spacing w:val="-13"/>
        </w:rPr>
        <w:t xml:space="preserve"> </w:t>
      </w:r>
      <w:r>
        <w:t>of</w:t>
      </w:r>
      <w:r>
        <w:rPr>
          <w:spacing w:val="-11"/>
        </w:rPr>
        <w:t xml:space="preserve"> </w:t>
      </w:r>
      <w:r>
        <w:t>the</w:t>
      </w:r>
      <w:r>
        <w:rPr>
          <w:spacing w:val="-13"/>
        </w:rPr>
        <w:t xml:space="preserve"> </w:t>
      </w:r>
      <w:r>
        <w:t>202</w:t>
      </w:r>
      <w:r w:rsidR="6BB23804">
        <w:t>4</w:t>
      </w:r>
      <w:r>
        <w:rPr>
          <w:spacing w:val="-12"/>
        </w:rPr>
        <w:t xml:space="preserve"> </w:t>
      </w:r>
      <w:r w:rsidR="5F244496">
        <w:rPr>
          <w:spacing w:val="-12"/>
        </w:rPr>
        <w:t xml:space="preserve">Boulder </w:t>
      </w:r>
      <w:r>
        <w:t>Energy</w:t>
      </w:r>
      <w:r>
        <w:rPr>
          <w:spacing w:val="-13"/>
        </w:rPr>
        <w:t xml:space="preserve"> </w:t>
      </w:r>
      <w:r>
        <w:t>Code</w:t>
      </w:r>
      <w:r>
        <w:rPr>
          <w:spacing w:val="-10"/>
        </w:rPr>
        <w:t xml:space="preserve"> </w:t>
      </w:r>
      <w:r>
        <w:t>apply</w:t>
      </w:r>
      <w:r>
        <w:rPr>
          <w:spacing w:val="-13"/>
        </w:rPr>
        <w:t xml:space="preserve"> </w:t>
      </w:r>
      <w:r>
        <w:t>to</w:t>
      </w:r>
      <w:r>
        <w:rPr>
          <w:spacing w:val="-9"/>
        </w:rPr>
        <w:t xml:space="preserve"> </w:t>
      </w:r>
      <w:r>
        <w:t>new</w:t>
      </w:r>
      <w:r>
        <w:rPr>
          <w:spacing w:val="-13"/>
        </w:rPr>
        <w:t xml:space="preserve"> </w:t>
      </w:r>
      <w:r>
        <w:t>buildings</w:t>
      </w:r>
      <w:r>
        <w:rPr>
          <w:spacing w:val="-10"/>
        </w:rPr>
        <w:t xml:space="preserve"> </w:t>
      </w:r>
      <w:r>
        <w:t>with</w:t>
      </w:r>
      <w:r>
        <w:rPr>
          <w:spacing w:val="-12"/>
        </w:rPr>
        <w:t xml:space="preserve"> </w:t>
      </w:r>
      <w:r>
        <w:t>conditioned</w:t>
      </w:r>
      <w:r>
        <w:rPr>
          <w:spacing w:val="-12"/>
        </w:rPr>
        <w:t xml:space="preserve"> </w:t>
      </w:r>
      <w:r>
        <w:t>space that are</w:t>
      </w:r>
      <w:r>
        <w:rPr>
          <w:spacing w:val="-2"/>
        </w:rPr>
        <w:t xml:space="preserve"> </w:t>
      </w:r>
      <w:r>
        <w:t>not</w:t>
      </w:r>
      <w:r>
        <w:rPr>
          <w:spacing w:val="-2"/>
        </w:rPr>
        <w:t xml:space="preserve"> </w:t>
      </w:r>
      <w:r>
        <w:t>defined</w:t>
      </w:r>
      <w:r>
        <w:rPr>
          <w:spacing w:val="-1"/>
        </w:rPr>
        <w:t xml:space="preserve"> </w:t>
      </w:r>
      <w:r>
        <w:t>as</w:t>
      </w:r>
      <w:r>
        <w:rPr>
          <w:spacing w:val="-3"/>
        </w:rPr>
        <w:t xml:space="preserve"> </w:t>
      </w:r>
      <w:r w:rsidRPr="04968161">
        <w:rPr>
          <w:i/>
          <w:iCs/>
        </w:rPr>
        <w:t>Residential</w:t>
      </w:r>
      <w:r w:rsidRPr="04968161">
        <w:rPr>
          <w:i/>
          <w:iCs/>
          <w:spacing w:val="-1"/>
        </w:rPr>
        <w:t xml:space="preserve"> </w:t>
      </w:r>
      <w:r w:rsidRPr="04968161">
        <w:rPr>
          <w:i/>
          <w:iCs/>
        </w:rPr>
        <w:t>Buildings</w:t>
      </w:r>
      <w:r w:rsidRPr="04968161">
        <w:rPr>
          <w:i/>
          <w:iCs/>
          <w:spacing w:val="-2"/>
        </w:rPr>
        <w:t xml:space="preserve"> </w:t>
      </w:r>
      <w:r>
        <w:t>(see</w:t>
      </w:r>
      <w:r>
        <w:rPr>
          <w:spacing w:val="-2"/>
        </w:rPr>
        <w:t xml:space="preserve"> </w:t>
      </w:r>
      <w:r>
        <w:t>definition</w:t>
      </w:r>
      <w:r>
        <w:rPr>
          <w:spacing w:val="-1"/>
        </w:rPr>
        <w:t xml:space="preserve"> </w:t>
      </w:r>
      <w:r>
        <w:t>below)</w:t>
      </w:r>
      <w:r>
        <w:rPr>
          <w:spacing w:val="-2"/>
        </w:rPr>
        <w:t xml:space="preserve"> </w:t>
      </w:r>
      <w:r>
        <w:t>and</w:t>
      </w:r>
      <w:r>
        <w:rPr>
          <w:spacing w:val="-1"/>
        </w:rPr>
        <w:t xml:space="preserve"> </w:t>
      </w:r>
      <w:r>
        <w:t>any</w:t>
      </w:r>
      <w:r>
        <w:rPr>
          <w:spacing w:val="-2"/>
        </w:rPr>
        <w:t xml:space="preserve"> </w:t>
      </w:r>
      <w:r>
        <w:t>such</w:t>
      </w:r>
      <w:r>
        <w:rPr>
          <w:spacing w:val="-4"/>
        </w:rPr>
        <w:t xml:space="preserve"> </w:t>
      </w:r>
      <w:r>
        <w:t>buildings undergoing</w:t>
      </w:r>
      <w:r>
        <w:rPr>
          <w:spacing w:val="-1"/>
        </w:rPr>
        <w:t xml:space="preserve"> </w:t>
      </w:r>
      <w:r>
        <w:t>an addition,</w:t>
      </w:r>
      <w:r>
        <w:rPr>
          <w:spacing w:val="-3"/>
        </w:rPr>
        <w:t xml:space="preserve"> </w:t>
      </w:r>
      <w:r>
        <w:t>remodel,</w:t>
      </w:r>
      <w:r>
        <w:rPr>
          <w:spacing w:val="-3"/>
        </w:rPr>
        <w:t xml:space="preserve"> </w:t>
      </w:r>
      <w:r>
        <w:t>alteration,</w:t>
      </w:r>
      <w:r>
        <w:rPr>
          <w:spacing w:val="-3"/>
        </w:rPr>
        <w:t xml:space="preserve"> </w:t>
      </w:r>
      <w:r>
        <w:t>repair,</w:t>
      </w:r>
      <w:r>
        <w:rPr>
          <w:spacing w:val="-3"/>
        </w:rPr>
        <w:t xml:space="preserve"> </w:t>
      </w:r>
      <w:r>
        <w:t>change</w:t>
      </w:r>
      <w:r>
        <w:rPr>
          <w:spacing w:val="-3"/>
        </w:rPr>
        <w:t xml:space="preserve"> </w:t>
      </w:r>
      <w:r>
        <w:t>of</w:t>
      </w:r>
      <w:r>
        <w:rPr>
          <w:spacing w:val="-6"/>
        </w:rPr>
        <w:t xml:space="preserve"> </w:t>
      </w:r>
      <w:r>
        <w:t>occupancy</w:t>
      </w:r>
      <w:r>
        <w:rPr>
          <w:spacing w:val="-2"/>
        </w:rPr>
        <w:t xml:space="preserve"> </w:t>
      </w:r>
      <w:r>
        <w:t>that</w:t>
      </w:r>
      <w:r>
        <w:rPr>
          <w:spacing w:val="-3"/>
        </w:rPr>
        <w:t xml:space="preserve"> </w:t>
      </w:r>
      <w:r>
        <w:t>would</w:t>
      </w:r>
      <w:r>
        <w:rPr>
          <w:spacing w:val="-4"/>
        </w:rPr>
        <w:t xml:space="preserve"> </w:t>
      </w:r>
      <w:r>
        <w:t>result</w:t>
      </w:r>
      <w:r>
        <w:rPr>
          <w:spacing w:val="-3"/>
        </w:rPr>
        <w:t xml:space="preserve"> </w:t>
      </w:r>
      <w:r>
        <w:t>in</w:t>
      </w:r>
      <w:r>
        <w:rPr>
          <w:spacing w:val="-4"/>
        </w:rPr>
        <w:t xml:space="preserve"> </w:t>
      </w:r>
      <w:r>
        <w:t>an</w:t>
      </w:r>
      <w:r>
        <w:rPr>
          <w:spacing w:val="-4"/>
        </w:rPr>
        <w:t xml:space="preserve"> </w:t>
      </w:r>
      <w:r>
        <w:t>increase</w:t>
      </w:r>
      <w:r>
        <w:rPr>
          <w:spacing w:val="-3"/>
        </w:rPr>
        <w:t xml:space="preserve"> </w:t>
      </w:r>
      <w:r>
        <w:t>in</w:t>
      </w:r>
      <w:r>
        <w:rPr>
          <w:spacing w:val="-4"/>
        </w:rPr>
        <w:t xml:space="preserve"> </w:t>
      </w:r>
      <w:r>
        <w:t>demand</w:t>
      </w:r>
      <w:r>
        <w:rPr>
          <w:spacing w:val="-4"/>
        </w:rPr>
        <w:t xml:space="preserve"> </w:t>
      </w:r>
      <w:r>
        <w:t>for either fossil fuel or electrical energy, or change of use.</w:t>
      </w:r>
    </w:p>
    <w:p w14:paraId="0D0B940D" w14:textId="77777777" w:rsidR="009B6420" w:rsidRDefault="009B6420" w:rsidP="04968161">
      <w:pPr>
        <w:pStyle w:val="BodyText"/>
        <w:contextualSpacing/>
      </w:pPr>
    </w:p>
    <w:p w14:paraId="0012E3C8" w14:textId="77F7C9B0" w:rsidR="009B6420" w:rsidRDefault="00C8672A" w:rsidP="04968161">
      <w:pPr>
        <w:pStyle w:val="BodyText"/>
        <w:ind w:right="443"/>
        <w:contextualSpacing/>
        <w:jc w:val="both"/>
      </w:pPr>
      <w:r>
        <w:t xml:space="preserve">The </w:t>
      </w:r>
      <w:r w:rsidRPr="04968161">
        <w:rPr>
          <w:i/>
          <w:iCs/>
        </w:rPr>
        <w:t xml:space="preserve">residential provisions </w:t>
      </w:r>
      <w:r>
        <w:t>of the 202</w:t>
      </w:r>
      <w:r w:rsidR="641A6186">
        <w:t>4</w:t>
      </w:r>
      <w:r>
        <w:t xml:space="preserve"> </w:t>
      </w:r>
      <w:r w:rsidR="475335F7">
        <w:t xml:space="preserve">Boulder </w:t>
      </w:r>
      <w:r>
        <w:t xml:space="preserve">Energy Code apply to residential buildings, defined as: </w:t>
      </w:r>
      <w:r w:rsidRPr="04968161">
        <w:rPr>
          <w:i/>
          <w:iCs/>
        </w:rPr>
        <w:t xml:space="preserve">Residential Buildings </w:t>
      </w:r>
      <w:r>
        <w:t>are detached one- and two-family dwellings and multiple single-family dwellings (townhouses) and Group R-3 and R-4 buildings three stories or less in height above grade plane.</w:t>
      </w:r>
    </w:p>
    <w:p w14:paraId="21DAF174" w14:textId="78415393" w:rsidR="04968161" w:rsidRDefault="04968161" w:rsidP="04968161">
      <w:pPr>
        <w:pStyle w:val="Heading1"/>
        <w:spacing w:before="0"/>
        <w:contextualSpacing/>
      </w:pPr>
    </w:p>
    <w:p w14:paraId="31947866" w14:textId="77777777" w:rsidR="009B6420" w:rsidRDefault="00C8672A" w:rsidP="04968161">
      <w:pPr>
        <w:pStyle w:val="Heading1"/>
        <w:spacing w:before="0"/>
        <w:ind w:left="0"/>
        <w:contextualSpacing/>
        <w:jc w:val="center"/>
      </w:pPr>
      <w:bookmarkStart w:id="2" w:name="SECTION_A._QUALIFICATION_REQUIREMENTS"/>
      <w:bookmarkEnd w:id="2"/>
      <w:r>
        <w:rPr>
          <w:spacing w:val="-2"/>
        </w:rPr>
        <w:t>SECTION</w:t>
      </w:r>
      <w:r>
        <w:rPr>
          <w:spacing w:val="-9"/>
        </w:rPr>
        <w:t xml:space="preserve"> </w:t>
      </w:r>
      <w:r>
        <w:rPr>
          <w:spacing w:val="-2"/>
        </w:rPr>
        <w:t>A.</w:t>
      </w:r>
      <w:r>
        <w:rPr>
          <w:spacing w:val="-9"/>
        </w:rPr>
        <w:t xml:space="preserve"> </w:t>
      </w:r>
      <w:r>
        <w:rPr>
          <w:spacing w:val="-2"/>
        </w:rPr>
        <w:t>QUALIFICATION</w:t>
      </w:r>
      <w:r>
        <w:rPr>
          <w:spacing w:val="-8"/>
        </w:rPr>
        <w:t xml:space="preserve"> </w:t>
      </w:r>
      <w:r>
        <w:rPr>
          <w:spacing w:val="-2"/>
        </w:rPr>
        <w:t>REQUIREMENTS</w:t>
      </w:r>
    </w:p>
    <w:p w14:paraId="02DC399C" w14:textId="18A79522" w:rsidR="009B6420" w:rsidRDefault="1DEA0999" w:rsidP="04968161">
      <w:pPr>
        <w:pStyle w:val="Heading2"/>
        <w:spacing w:before="246"/>
        <w:ind w:left="0"/>
      </w:pPr>
      <w:r>
        <w:t>Systems Commissioning Qualifications</w:t>
      </w:r>
    </w:p>
    <w:p w14:paraId="2AF753A3" w14:textId="77777777" w:rsidR="009B6420" w:rsidRDefault="009B6420" w:rsidP="04968161">
      <w:pPr>
        <w:pStyle w:val="BodyText"/>
        <w:spacing w:before="3"/>
        <w:rPr>
          <w:b/>
          <w:bCs/>
        </w:rPr>
      </w:pPr>
    </w:p>
    <w:p w14:paraId="6B5296CD" w14:textId="399FBC6B" w:rsidR="009B6420" w:rsidRDefault="1DEA0999" w:rsidP="04968161">
      <w:pPr>
        <w:pStyle w:val="BodyText"/>
        <w:ind w:right="339"/>
        <w:jc w:val="both"/>
      </w:pPr>
      <w:r>
        <w:t xml:space="preserve">An </w:t>
      </w:r>
      <w:r w:rsidRPr="04968161">
        <w:rPr>
          <w:i/>
          <w:iCs/>
        </w:rPr>
        <w:t xml:space="preserve">approved agency </w:t>
      </w:r>
      <w:r>
        <w:t>responsible for the execution of the commissioning process must have at least one of the following qualifications:</w:t>
      </w:r>
    </w:p>
    <w:p w14:paraId="7773A5D6" w14:textId="6FECC141" w:rsidR="009B6420" w:rsidRDefault="1DEA0999" w:rsidP="04968161">
      <w:pPr>
        <w:pStyle w:val="BodyText"/>
        <w:numPr>
          <w:ilvl w:val="0"/>
          <w:numId w:val="1"/>
        </w:numPr>
        <w:ind w:right="339"/>
        <w:jc w:val="both"/>
      </w:pPr>
      <w:r>
        <w:t>A building commissioning certification from an ISO/IEC 17024-accredited agency or another entity that certifies building commissioning professionals; or</w:t>
      </w:r>
    </w:p>
    <w:p w14:paraId="312C0F65" w14:textId="50FD3794" w:rsidR="009B6420" w:rsidRDefault="1DEA0999" w:rsidP="04968161">
      <w:pPr>
        <w:pStyle w:val="BodyText"/>
        <w:numPr>
          <w:ilvl w:val="0"/>
          <w:numId w:val="1"/>
        </w:numPr>
        <w:ind w:right="339"/>
        <w:jc w:val="both"/>
        <w:rPr>
          <w:rFonts w:asciiTheme="minorHAnsi" w:eastAsiaTheme="minorEastAsia" w:hAnsiTheme="minorHAnsi" w:cstheme="minorBidi"/>
        </w:rPr>
      </w:pPr>
      <w:r w:rsidRPr="04968161">
        <w:rPr>
          <w:rFonts w:asciiTheme="minorHAnsi" w:eastAsiaTheme="minorEastAsia" w:hAnsiTheme="minorHAnsi" w:cstheme="minorBidi"/>
        </w:rPr>
        <w:t>Staff credentials recognized by the Building Commissioning Association, such as the Certified Commissioning Professional (CCP) or equivalent.</w:t>
      </w:r>
    </w:p>
    <w:p w14:paraId="4604F944" w14:textId="75543475" w:rsidR="009B6420" w:rsidRDefault="009B6420" w:rsidP="04968161">
      <w:pPr>
        <w:pStyle w:val="BodyText"/>
      </w:pPr>
    </w:p>
    <w:p w14:paraId="46672EF2" w14:textId="77777777" w:rsidR="009B6420" w:rsidRDefault="1DEA0999" w:rsidP="04968161">
      <w:pPr>
        <w:pStyle w:val="Heading1"/>
        <w:spacing w:before="0"/>
        <w:ind w:left="0"/>
        <w:jc w:val="center"/>
      </w:pPr>
      <w:r>
        <w:t>SECTION B. SUBMITTAL REQUIREMENTS</w:t>
      </w:r>
    </w:p>
    <w:p w14:paraId="0020E0E6" w14:textId="77777777" w:rsidR="009B6420" w:rsidRDefault="009B6420" w:rsidP="04968161">
      <w:pPr>
        <w:pStyle w:val="BodyText"/>
        <w:rPr>
          <w:b/>
          <w:bCs/>
        </w:rPr>
      </w:pPr>
    </w:p>
    <w:p w14:paraId="72B2EF42" w14:textId="682F8BF3" w:rsidR="009B6420" w:rsidRDefault="1DEA0999" w:rsidP="04968161">
      <w:pPr>
        <w:pStyle w:val="BodyText"/>
        <w:ind w:right="339"/>
        <w:jc w:val="both"/>
      </w:pPr>
      <w:r>
        <w:t>If</w:t>
      </w:r>
      <w:r w:rsidR="1C197A3D">
        <w:t xml:space="preserve"> s</w:t>
      </w:r>
      <w:r>
        <w:t>ystem commissioning is required in accordance with</w:t>
      </w:r>
      <w:r w:rsidR="687D44B3">
        <w:t xml:space="preserve"> Section </w:t>
      </w:r>
      <w:r>
        <w:t>C408, submit a letter during construction drawing plan review that includes the information below. The review may not be approved without this letter.</w:t>
      </w:r>
    </w:p>
    <w:p w14:paraId="0A5E50C1" w14:textId="77777777" w:rsidR="009B6420" w:rsidRDefault="1DEA0999" w:rsidP="04968161">
      <w:pPr>
        <w:pStyle w:val="BodyText"/>
        <w:numPr>
          <w:ilvl w:val="0"/>
          <w:numId w:val="3"/>
        </w:numPr>
        <w:tabs>
          <w:tab w:val="left" w:pos="990"/>
        </w:tabs>
        <w:spacing w:line="259" w:lineRule="auto"/>
        <w:ind w:left="720" w:right="339"/>
        <w:jc w:val="both"/>
      </w:pPr>
      <w:r>
        <w:t>Project address and log number</w:t>
      </w:r>
    </w:p>
    <w:p w14:paraId="2C70C33C" w14:textId="77777777" w:rsidR="009B6420" w:rsidRDefault="1DEA0999" w:rsidP="04968161">
      <w:pPr>
        <w:pStyle w:val="BodyText"/>
        <w:numPr>
          <w:ilvl w:val="0"/>
          <w:numId w:val="3"/>
        </w:numPr>
        <w:tabs>
          <w:tab w:val="left" w:pos="1172"/>
        </w:tabs>
        <w:spacing w:line="259" w:lineRule="auto"/>
        <w:ind w:left="720" w:right="339"/>
        <w:jc w:val="both"/>
      </w:pPr>
      <w:r>
        <w:t>General contractor’s name</w:t>
      </w:r>
    </w:p>
    <w:p w14:paraId="4420D860" w14:textId="77777777" w:rsidR="009B6420" w:rsidRDefault="1DEA0999" w:rsidP="04968161">
      <w:pPr>
        <w:pStyle w:val="BodyText"/>
        <w:numPr>
          <w:ilvl w:val="0"/>
          <w:numId w:val="3"/>
        </w:numPr>
        <w:tabs>
          <w:tab w:val="left" w:pos="1173"/>
        </w:tabs>
        <w:spacing w:line="259" w:lineRule="auto"/>
        <w:ind w:left="720" w:right="339"/>
        <w:jc w:val="both"/>
      </w:pPr>
      <w:r>
        <w:t>Name of the individual (if known) and/or company that will perform the envelope verification and/or system commissioning</w:t>
      </w:r>
    </w:p>
    <w:p w14:paraId="36CD0617" w14:textId="529835D9" w:rsidR="009B6420" w:rsidRDefault="1DEA0999" w:rsidP="04968161">
      <w:pPr>
        <w:pStyle w:val="BodyText"/>
        <w:numPr>
          <w:ilvl w:val="0"/>
          <w:numId w:val="3"/>
        </w:numPr>
        <w:tabs>
          <w:tab w:val="left" w:pos="1172"/>
        </w:tabs>
        <w:spacing w:line="259" w:lineRule="auto"/>
        <w:ind w:left="720" w:right="339"/>
        <w:jc w:val="both"/>
      </w:pPr>
      <w:r>
        <w:lastRenderedPageBreak/>
        <w:t xml:space="preserve">Describe whether the commissioning agent is a registered design professional or an approved agency. Letters for design professionals must provide their specialty and license number. The design professional stamping the design cannot be same design professional performing the </w:t>
      </w:r>
      <w:r w:rsidR="008F226E">
        <w:t>commissioning but</w:t>
      </w:r>
      <w:r>
        <w:t xml:space="preserve"> can be in the same firm. Letters for approved agencies must indicate which of the qualification requirements are met to qualify them as an approved agency.</w:t>
      </w:r>
    </w:p>
    <w:p w14:paraId="493DC257" w14:textId="77777777" w:rsidR="006F41AC" w:rsidRDefault="1DEA0999" w:rsidP="006F41AC">
      <w:pPr>
        <w:pStyle w:val="BodyText"/>
        <w:numPr>
          <w:ilvl w:val="0"/>
          <w:numId w:val="3"/>
        </w:numPr>
        <w:tabs>
          <w:tab w:val="left" w:pos="1178"/>
        </w:tabs>
        <w:spacing w:line="259" w:lineRule="auto"/>
        <w:ind w:left="720" w:right="339"/>
        <w:jc w:val="both"/>
      </w:pPr>
      <w:r>
        <w:t>For phased construction projects, identify the phase or phases when commissioning will occur at a level of completion expected to satisfy the requirements of the Preliminary Commissioning Report.</w:t>
      </w:r>
    </w:p>
    <w:p w14:paraId="28FA3597" w14:textId="4359F779" w:rsidR="04968161" w:rsidRDefault="1DEA0999" w:rsidP="006F41AC">
      <w:pPr>
        <w:pStyle w:val="BodyText"/>
        <w:numPr>
          <w:ilvl w:val="0"/>
          <w:numId w:val="3"/>
        </w:numPr>
        <w:tabs>
          <w:tab w:val="left" w:pos="1178"/>
        </w:tabs>
        <w:spacing w:line="259" w:lineRule="auto"/>
        <w:ind w:left="720" w:right="339"/>
        <w:jc w:val="both"/>
      </w:pPr>
      <w:r>
        <w:t>The letter must be signed and dated by the project developer, owner, or authorized agent.</w:t>
      </w:r>
    </w:p>
    <w:sectPr w:rsidR="04968161">
      <w:headerReference w:type="default" r:id="rId10"/>
      <w:pgSz w:w="12240" w:h="15840"/>
      <w:pgMar w:top="1440" w:right="1440" w:bottom="1440" w:left="144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E9E3D" w14:textId="77777777" w:rsidR="00961155" w:rsidRDefault="00961155">
      <w:r>
        <w:separator/>
      </w:r>
    </w:p>
  </w:endnote>
  <w:endnote w:type="continuationSeparator" w:id="0">
    <w:p w14:paraId="1CB5C220" w14:textId="77777777" w:rsidR="00961155" w:rsidRDefault="0096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0295E" w14:textId="77777777" w:rsidR="00961155" w:rsidRDefault="00961155">
      <w:r>
        <w:separator/>
      </w:r>
    </w:p>
  </w:footnote>
  <w:footnote w:type="continuationSeparator" w:id="0">
    <w:p w14:paraId="1AEF05F0" w14:textId="77777777" w:rsidR="00961155" w:rsidRDefault="0096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8EF9" w14:textId="59B10782" w:rsidR="006F41AC" w:rsidRDefault="006F41AC" w:rsidP="006F41AC">
    <w:pPr>
      <w:pStyle w:val="Header"/>
      <w:jc w:val="right"/>
    </w:pPr>
    <w:r>
      <w:rPr>
        <w:b/>
        <w:bCs/>
        <w:noProof/>
      </w:rPr>
      <w:drawing>
        <wp:anchor distT="0" distB="0" distL="114300" distR="114300" simplePos="0" relativeHeight="251658240" behindDoc="0" locked="0" layoutInCell="1" allowOverlap="1" wp14:anchorId="5B755DFE" wp14:editId="178C9631">
          <wp:simplePos x="0" y="0"/>
          <wp:positionH relativeFrom="column">
            <wp:posOffset>4195234</wp:posOffset>
          </wp:positionH>
          <wp:positionV relativeFrom="paragraph">
            <wp:posOffset>-381000</wp:posOffset>
          </wp:positionV>
          <wp:extent cx="2540000"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863" cy="7622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99B22"/>
    <w:multiLevelType w:val="hybridMultilevel"/>
    <w:tmpl w:val="3FE8032A"/>
    <w:lvl w:ilvl="0" w:tplc="E5F21A92">
      <w:start w:val="1"/>
      <w:numFmt w:val="bullet"/>
      <w:lvlText w:val=""/>
      <w:lvlJc w:val="left"/>
      <w:pPr>
        <w:ind w:left="720" w:hanging="360"/>
      </w:pPr>
      <w:rPr>
        <w:rFonts w:ascii="Wingdings" w:hAnsi="Wingdings" w:hint="default"/>
      </w:rPr>
    </w:lvl>
    <w:lvl w:ilvl="1" w:tplc="A5702BFA">
      <w:start w:val="1"/>
      <w:numFmt w:val="bullet"/>
      <w:lvlText w:val=""/>
      <w:lvlJc w:val="left"/>
      <w:pPr>
        <w:ind w:left="1440" w:hanging="360"/>
      </w:pPr>
      <w:rPr>
        <w:rFonts w:ascii="Wingdings" w:hAnsi="Wingdings" w:hint="default"/>
      </w:rPr>
    </w:lvl>
    <w:lvl w:ilvl="2" w:tplc="5B8EF1CE">
      <w:start w:val="1"/>
      <w:numFmt w:val="bullet"/>
      <w:lvlText w:val=""/>
      <w:lvlJc w:val="left"/>
      <w:pPr>
        <w:ind w:left="2160" w:hanging="360"/>
      </w:pPr>
      <w:rPr>
        <w:rFonts w:ascii="Wingdings" w:hAnsi="Wingdings" w:hint="default"/>
      </w:rPr>
    </w:lvl>
    <w:lvl w:ilvl="3" w:tplc="3182B416">
      <w:start w:val="1"/>
      <w:numFmt w:val="bullet"/>
      <w:lvlText w:val=""/>
      <w:lvlJc w:val="left"/>
      <w:pPr>
        <w:ind w:left="2880" w:hanging="360"/>
      </w:pPr>
      <w:rPr>
        <w:rFonts w:ascii="Wingdings" w:hAnsi="Wingdings" w:hint="default"/>
      </w:rPr>
    </w:lvl>
    <w:lvl w:ilvl="4" w:tplc="228A4BFE">
      <w:start w:val="1"/>
      <w:numFmt w:val="bullet"/>
      <w:lvlText w:val=""/>
      <w:lvlJc w:val="left"/>
      <w:pPr>
        <w:ind w:left="3600" w:hanging="360"/>
      </w:pPr>
      <w:rPr>
        <w:rFonts w:ascii="Wingdings" w:hAnsi="Wingdings" w:hint="default"/>
      </w:rPr>
    </w:lvl>
    <w:lvl w:ilvl="5" w:tplc="A442E308">
      <w:start w:val="1"/>
      <w:numFmt w:val="bullet"/>
      <w:lvlText w:val=""/>
      <w:lvlJc w:val="left"/>
      <w:pPr>
        <w:ind w:left="4320" w:hanging="360"/>
      </w:pPr>
      <w:rPr>
        <w:rFonts w:ascii="Wingdings" w:hAnsi="Wingdings" w:hint="default"/>
      </w:rPr>
    </w:lvl>
    <w:lvl w:ilvl="6" w:tplc="4E4289E2">
      <w:start w:val="1"/>
      <w:numFmt w:val="bullet"/>
      <w:lvlText w:val=""/>
      <w:lvlJc w:val="left"/>
      <w:pPr>
        <w:ind w:left="5040" w:hanging="360"/>
      </w:pPr>
      <w:rPr>
        <w:rFonts w:ascii="Wingdings" w:hAnsi="Wingdings" w:hint="default"/>
      </w:rPr>
    </w:lvl>
    <w:lvl w:ilvl="7" w:tplc="45869286">
      <w:start w:val="1"/>
      <w:numFmt w:val="bullet"/>
      <w:lvlText w:val=""/>
      <w:lvlJc w:val="left"/>
      <w:pPr>
        <w:ind w:left="5760" w:hanging="360"/>
      </w:pPr>
      <w:rPr>
        <w:rFonts w:ascii="Wingdings" w:hAnsi="Wingdings" w:hint="default"/>
      </w:rPr>
    </w:lvl>
    <w:lvl w:ilvl="8" w:tplc="8160B426">
      <w:start w:val="1"/>
      <w:numFmt w:val="bullet"/>
      <w:lvlText w:val=""/>
      <w:lvlJc w:val="left"/>
      <w:pPr>
        <w:ind w:left="6480" w:hanging="360"/>
      </w:pPr>
      <w:rPr>
        <w:rFonts w:ascii="Wingdings" w:hAnsi="Wingdings" w:hint="default"/>
      </w:rPr>
    </w:lvl>
  </w:abstractNum>
  <w:abstractNum w:abstractNumId="1" w15:restartNumberingAfterBreak="0">
    <w:nsid w:val="4FCF7991"/>
    <w:multiLevelType w:val="hybridMultilevel"/>
    <w:tmpl w:val="FFFFFFFF"/>
    <w:lvl w:ilvl="0" w:tplc="FFFFFFFF">
      <w:start w:val="1"/>
      <w:numFmt w:val="bullet"/>
      <w:lvlText w:val=""/>
      <w:lvlJc w:val="left"/>
      <w:pPr>
        <w:ind w:left="1177" w:hanging="360"/>
      </w:pPr>
      <w:rPr>
        <w:rFonts w:ascii="Wingdings" w:hAnsi="Wingdings" w:hint="default"/>
        <w:b w:val="0"/>
        <w:bCs w:val="0"/>
        <w:i w:val="0"/>
        <w:iCs w:val="0"/>
        <w:spacing w:val="0"/>
        <w:w w:val="97"/>
        <w:sz w:val="20"/>
        <w:szCs w:val="20"/>
        <w:lang w:val="en-US" w:eastAsia="en-US" w:bidi="ar-SA"/>
      </w:rPr>
    </w:lvl>
    <w:lvl w:ilvl="1" w:tplc="6DD60346">
      <w:numFmt w:val="bullet"/>
      <w:lvlText w:val="•"/>
      <w:lvlJc w:val="left"/>
      <w:pPr>
        <w:ind w:left="2088" w:hanging="360"/>
      </w:pPr>
      <w:rPr>
        <w:rFonts w:hint="default"/>
        <w:lang w:val="en-US" w:eastAsia="en-US" w:bidi="ar-SA"/>
      </w:rPr>
    </w:lvl>
    <w:lvl w:ilvl="2" w:tplc="00F63DD2">
      <w:numFmt w:val="bullet"/>
      <w:lvlText w:val="•"/>
      <w:lvlJc w:val="left"/>
      <w:pPr>
        <w:ind w:left="2996" w:hanging="360"/>
      </w:pPr>
      <w:rPr>
        <w:rFonts w:hint="default"/>
        <w:lang w:val="en-US" w:eastAsia="en-US" w:bidi="ar-SA"/>
      </w:rPr>
    </w:lvl>
    <w:lvl w:ilvl="3" w:tplc="F620E3BA">
      <w:numFmt w:val="bullet"/>
      <w:lvlText w:val="•"/>
      <w:lvlJc w:val="left"/>
      <w:pPr>
        <w:ind w:left="3904" w:hanging="360"/>
      </w:pPr>
      <w:rPr>
        <w:rFonts w:hint="default"/>
        <w:lang w:val="en-US" w:eastAsia="en-US" w:bidi="ar-SA"/>
      </w:rPr>
    </w:lvl>
    <w:lvl w:ilvl="4" w:tplc="F06E5644">
      <w:numFmt w:val="bullet"/>
      <w:lvlText w:val="•"/>
      <w:lvlJc w:val="left"/>
      <w:pPr>
        <w:ind w:left="4812" w:hanging="360"/>
      </w:pPr>
      <w:rPr>
        <w:rFonts w:hint="default"/>
        <w:lang w:val="en-US" w:eastAsia="en-US" w:bidi="ar-SA"/>
      </w:rPr>
    </w:lvl>
    <w:lvl w:ilvl="5" w:tplc="F2A8A5EC">
      <w:numFmt w:val="bullet"/>
      <w:lvlText w:val="•"/>
      <w:lvlJc w:val="left"/>
      <w:pPr>
        <w:ind w:left="5720" w:hanging="360"/>
      </w:pPr>
      <w:rPr>
        <w:rFonts w:hint="default"/>
        <w:lang w:val="en-US" w:eastAsia="en-US" w:bidi="ar-SA"/>
      </w:rPr>
    </w:lvl>
    <w:lvl w:ilvl="6" w:tplc="EA427D78">
      <w:numFmt w:val="bullet"/>
      <w:lvlText w:val="•"/>
      <w:lvlJc w:val="left"/>
      <w:pPr>
        <w:ind w:left="6628" w:hanging="360"/>
      </w:pPr>
      <w:rPr>
        <w:rFonts w:hint="default"/>
        <w:lang w:val="en-US" w:eastAsia="en-US" w:bidi="ar-SA"/>
      </w:rPr>
    </w:lvl>
    <w:lvl w:ilvl="7" w:tplc="C4F2FD0E">
      <w:numFmt w:val="bullet"/>
      <w:lvlText w:val="•"/>
      <w:lvlJc w:val="left"/>
      <w:pPr>
        <w:ind w:left="7536" w:hanging="360"/>
      </w:pPr>
      <w:rPr>
        <w:rFonts w:hint="default"/>
        <w:lang w:val="en-US" w:eastAsia="en-US" w:bidi="ar-SA"/>
      </w:rPr>
    </w:lvl>
    <w:lvl w:ilvl="8" w:tplc="9092A8BA">
      <w:numFmt w:val="bullet"/>
      <w:lvlText w:val="•"/>
      <w:lvlJc w:val="left"/>
      <w:pPr>
        <w:ind w:left="8444" w:hanging="360"/>
      </w:pPr>
      <w:rPr>
        <w:rFonts w:hint="default"/>
        <w:lang w:val="en-US" w:eastAsia="en-US" w:bidi="ar-SA"/>
      </w:rPr>
    </w:lvl>
  </w:abstractNum>
  <w:abstractNum w:abstractNumId="2" w15:restartNumberingAfterBreak="0">
    <w:nsid w:val="79C9CC66"/>
    <w:multiLevelType w:val="hybridMultilevel"/>
    <w:tmpl w:val="65E81096"/>
    <w:lvl w:ilvl="0" w:tplc="919A5218">
      <w:start w:val="1"/>
      <w:numFmt w:val="bullet"/>
      <w:lvlText w:val=""/>
      <w:lvlJc w:val="left"/>
      <w:pPr>
        <w:ind w:left="720" w:hanging="360"/>
      </w:pPr>
      <w:rPr>
        <w:rFonts w:ascii="Wingdings" w:hAnsi="Wingdings" w:hint="default"/>
      </w:rPr>
    </w:lvl>
    <w:lvl w:ilvl="1" w:tplc="F4B6707C">
      <w:start w:val="1"/>
      <w:numFmt w:val="bullet"/>
      <w:lvlText w:val=""/>
      <w:lvlJc w:val="left"/>
      <w:pPr>
        <w:ind w:left="1440" w:hanging="360"/>
      </w:pPr>
      <w:rPr>
        <w:rFonts w:ascii="Wingdings" w:hAnsi="Wingdings" w:hint="default"/>
      </w:rPr>
    </w:lvl>
    <w:lvl w:ilvl="2" w:tplc="A372C23E">
      <w:start w:val="1"/>
      <w:numFmt w:val="bullet"/>
      <w:lvlText w:val=""/>
      <w:lvlJc w:val="left"/>
      <w:pPr>
        <w:ind w:left="2160" w:hanging="360"/>
      </w:pPr>
      <w:rPr>
        <w:rFonts w:ascii="Wingdings" w:hAnsi="Wingdings" w:hint="default"/>
      </w:rPr>
    </w:lvl>
    <w:lvl w:ilvl="3" w:tplc="46FCBA36">
      <w:start w:val="1"/>
      <w:numFmt w:val="bullet"/>
      <w:lvlText w:val=""/>
      <w:lvlJc w:val="left"/>
      <w:pPr>
        <w:ind w:left="2880" w:hanging="360"/>
      </w:pPr>
      <w:rPr>
        <w:rFonts w:ascii="Wingdings" w:hAnsi="Wingdings" w:hint="default"/>
      </w:rPr>
    </w:lvl>
    <w:lvl w:ilvl="4" w:tplc="3634B028">
      <w:start w:val="1"/>
      <w:numFmt w:val="bullet"/>
      <w:lvlText w:val=""/>
      <w:lvlJc w:val="left"/>
      <w:pPr>
        <w:ind w:left="3600" w:hanging="360"/>
      </w:pPr>
      <w:rPr>
        <w:rFonts w:ascii="Wingdings" w:hAnsi="Wingdings" w:hint="default"/>
      </w:rPr>
    </w:lvl>
    <w:lvl w:ilvl="5" w:tplc="9486452E">
      <w:start w:val="1"/>
      <w:numFmt w:val="bullet"/>
      <w:lvlText w:val=""/>
      <w:lvlJc w:val="left"/>
      <w:pPr>
        <w:ind w:left="4320" w:hanging="360"/>
      </w:pPr>
      <w:rPr>
        <w:rFonts w:ascii="Wingdings" w:hAnsi="Wingdings" w:hint="default"/>
      </w:rPr>
    </w:lvl>
    <w:lvl w:ilvl="6" w:tplc="4D1E04F0">
      <w:start w:val="1"/>
      <w:numFmt w:val="bullet"/>
      <w:lvlText w:val=""/>
      <w:lvlJc w:val="left"/>
      <w:pPr>
        <w:ind w:left="5040" w:hanging="360"/>
      </w:pPr>
      <w:rPr>
        <w:rFonts w:ascii="Wingdings" w:hAnsi="Wingdings" w:hint="default"/>
      </w:rPr>
    </w:lvl>
    <w:lvl w:ilvl="7" w:tplc="B3A0A66A">
      <w:start w:val="1"/>
      <w:numFmt w:val="bullet"/>
      <w:lvlText w:val=""/>
      <w:lvlJc w:val="left"/>
      <w:pPr>
        <w:ind w:left="5760" w:hanging="360"/>
      </w:pPr>
      <w:rPr>
        <w:rFonts w:ascii="Wingdings" w:hAnsi="Wingdings" w:hint="default"/>
      </w:rPr>
    </w:lvl>
    <w:lvl w:ilvl="8" w:tplc="D5E2F850">
      <w:start w:val="1"/>
      <w:numFmt w:val="bullet"/>
      <w:lvlText w:val=""/>
      <w:lvlJc w:val="left"/>
      <w:pPr>
        <w:ind w:left="6480" w:hanging="360"/>
      </w:pPr>
      <w:rPr>
        <w:rFonts w:ascii="Wingdings" w:hAnsi="Wingdings" w:hint="default"/>
      </w:rPr>
    </w:lvl>
  </w:abstractNum>
  <w:num w:numId="1" w16cid:durableId="590042402">
    <w:abstractNumId w:val="0"/>
  </w:num>
  <w:num w:numId="2" w16cid:durableId="1951087400">
    <w:abstractNumId w:val="2"/>
  </w:num>
  <w:num w:numId="3" w16cid:durableId="19133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F127D2"/>
    <w:rsid w:val="0060641F"/>
    <w:rsid w:val="006702B3"/>
    <w:rsid w:val="006F41AC"/>
    <w:rsid w:val="008F226E"/>
    <w:rsid w:val="00961155"/>
    <w:rsid w:val="009B6420"/>
    <w:rsid w:val="00B16414"/>
    <w:rsid w:val="00B16B20"/>
    <w:rsid w:val="00C8672A"/>
    <w:rsid w:val="04820C2F"/>
    <w:rsid w:val="04968161"/>
    <w:rsid w:val="0A8F19AF"/>
    <w:rsid w:val="0CA4923B"/>
    <w:rsid w:val="0D734437"/>
    <w:rsid w:val="10392359"/>
    <w:rsid w:val="18637B8C"/>
    <w:rsid w:val="18823D51"/>
    <w:rsid w:val="1C197A3D"/>
    <w:rsid w:val="1C47C575"/>
    <w:rsid w:val="1DEA0999"/>
    <w:rsid w:val="2400970B"/>
    <w:rsid w:val="25613899"/>
    <w:rsid w:val="25FBC14D"/>
    <w:rsid w:val="292E3603"/>
    <w:rsid w:val="2F1D97E5"/>
    <w:rsid w:val="349C95F3"/>
    <w:rsid w:val="35F390AE"/>
    <w:rsid w:val="378F610F"/>
    <w:rsid w:val="39E1E9FF"/>
    <w:rsid w:val="3E2A4FDC"/>
    <w:rsid w:val="3EFC61FD"/>
    <w:rsid w:val="3F6E41A3"/>
    <w:rsid w:val="405D6D85"/>
    <w:rsid w:val="455FCED5"/>
    <w:rsid w:val="475335F7"/>
    <w:rsid w:val="4E594066"/>
    <w:rsid w:val="4FE4318D"/>
    <w:rsid w:val="51698A90"/>
    <w:rsid w:val="54A12B52"/>
    <w:rsid w:val="5EA3A57C"/>
    <w:rsid w:val="5F244496"/>
    <w:rsid w:val="61951811"/>
    <w:rsid w:val="61A7303C"/>
    <w:rsid w:val="641A6186"/>
    <w:rsid w:val="65664DF1"/>
    <w:rsid w:val="65C73961"/>
    <w:rsid w:val="682E894F"/>
    <w:rsid w:val="687D44B3"/>
    <w:rsid w:val="699D7F02"/>
    <w:rsid w:val="6A7BD233"/>
    <w:rsid w:val="6BB23804"/>
    <w:rsid w:val="70A43429"/>
    <w:rsid w:val="77F12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F91C"/>
  <w15:docId w15:val="{60F4C27D-E5B1-47AC-B042-79636D5E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9"/>
      <w:outlineLvl w:val="0"/>
    </w:pPr>
    <w:rPr>
      <w:b/>
      <w:bCs/>
    </w:rPr>
  </w:style>
  <w:style w:type="paragraph" w:styleId="Heading2">
    <w:name w:val="heading 2"/>
    <w:basedOn w:val="Normal"/>
    <w:uiPriority w:val="9"/>
    <w:unhideWhenUsed/>
    <w:qFormat/>
    <w:pPr>
      <w:ind w:left="45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9"/>
      <w:ind w:left="1177" w:hanging="360"/>
    </w:pPr>
  </w:style>
  <w:style w:type="paragraph" w:customStyle="1" w:styleId="TableParagraph">
    <w:name w:val="Table Paragraph"/>
    <w:basedOn w:val="Normal"/>
    <w:uiPriority w:val="1"/>
    <w:qFormat/>
    <w:pPr>
      <w:ind w:left="112"/>
    </w:pPr>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80EC0F6F746BE670F10E629596C" ma:contentTypeVersion="14" ma:contentTypeDescription="Create a new document." ma:contentTypeScope="" ma:versionID="a269b84b447829be405bf091c8ab0e59">
  <xsd:schema xmlns:xsd="http://www.w3.org/2001/XMLSchema" xmlns:xs="http://www.w3.org/2001/XMLSchema" xmlns:p="http://schemas.microsoft.com/office/2006/metadata/properties" xmlns:ns2="37f34bca-3f4e-49e2-a78d-ad690b0e3985" xmlns:ns3="b0c65574-8c8a-4824-ad7e-e08882cd671e" targetNamespace="http://schemas.microsoft.com/office/2006/metadata/properties" ma:root="true" ma:fieldsID="7da864761671fc59c06430e0e9f3e9ec" ns2:_="" ns3:_="">
    <xsd:import namespace="37f34bca-3f4e-49e2-a78d-ad690b0e3985"/>
    <xsd:import namespace="b0c65574-8c8a-4824-ad7e-e08882cd6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4bca-3f4e-49e2-a78d-ad690b0e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3282b9-7e5c-4006-bd6f-6aea32a434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65574-8c8a-4824-ad7e-e08882cd6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fa6bd7-409e-4a44-af12-8c291d71be3a}" ma:internalName="TaxCatchAll" ma:showField="CatchAllData" ma:web="b0c65574-8c8a-4824-ad7e-e08882cd6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65574-8c8a-4824-ad7e-e08882cd671e" xsi:nil="true"/>
    <lcf76f155ced4ddcb4097134ff3c332f xmlns="37f34bca-3f4e-49e2-a78d-ad690b0e3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BB93F5-B661-404F-BC75-ACB899D27539}">
  <ds:schemaRefs>
    <ds:schemaRef ds:uri="http://schemas.microsoft.com/sharepoint/v3/contenttype/forms"/>
  </ds:schemaRefs>
</ds:datastoreItem>
</file>

<file path=customXml/itemProps2.xml><?xml version="1.0" encoding="utf-8"?>
<ds:datastoreItem xmlns:ds="http://schemas.openxmlformats.org/officeDocument/2006/customXml" ds:itemID="{22C9D2B0-CEF7-4952-A20B-EDD0A922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4bca-3f4e-49e2-a78d-ad690b0e3985"/>
    <ds:schemaRef ds:uri="b0c65574-8c8a-4824-ad7e-e08882cd6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5B3BD-D484-4658-8D36-86998DD1C20C}">
  <ds:schemaRefs>
    <ds:schemaRef ds:uri="http://schemas.microsoft.com/office/2006/metadata/properties"/>
    <ds:schemaRef ds:uri="http://schemas.microsoft.com/office/infopath/2007/PartnerControls"/>
    <ds:schemaRef ds:uri="b0c65574-8c8a-4824-ad7e-e08882cd671e"/>
    <ds:schemaRef ds:uri="37f34bca-3f4e-49e2-a78d-ad690b0e3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Submittal Requirements for Commercial Energy Provisions</dc:title>
  <dc:creator>141551</dc:creator>
  <cp:lastModifiedBy>Hanson, Josh</cp:lastModifiedBy>
  <cp:revision>9</cp:revision>
  <dcterms:created xsi:type="dcterms:W3CDTF">2024-04-23T23:48:00Z</dcterms:created>
  <dcterms:modified xsi:type="dcterms:W3CDTF">2024-09-09T14:14:00Z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23 for Word</vt:lpwstr>
  </property>
  <property fmtid="{D5CDD505-2E9C-101B-9397-08002B2CF9AE}" pid="4" name="LastSaved">
    <vt:filetime>2024-04-23T00:00:00Z</vt:filetime>
  </property>
  <property fmtid="{D5CDD505-2E9C-101B-9397-08002B2CF9AE}" pid="5" name="Producer">
    <vt:lpwstr>Adobe PDF Library 23.3.45</vt:lpwstr>
  </property>
  <property fmtid="{D5CDD505-2E9C-101B-9397-08002B2CF9AE}" pid="6" name="SourceModified">
    <vt:lpwstr/>
  </property>
  <property fmtid="{D5CDD505-2E9C-101B-9397-08002B2CF9AE}" pid="7" name="ContentTypeId">
    <vt:lpwstr>0x010100408F680EC0F6F746BE670F10E629596C</vt:lpwstr>
  </property>
  <property fmtid="{D5CDD505-2E9C-101B-9397-08002B2CF9AE}" pid="8" name="MSIP_Label_b7864bb8-b671-4bed-ba85-9478127ab5e9_Enabled">
    <vt:lpwstr>true</vt:lpwstr>
  </property>
  <property fmtid="{D5CDD505-2E9C-101B-9397-08002B2CF9AE}" pid="9" name="MSIP_Label_b7864bb8-b671-4bed-ba85-9478127ab5e9_SetDate">
    <vt:lpwstr>2024-04-23T23:48:22Z</vt:lpwstr>
  </property>
  <property fmtid="{D5CDD505-2E9C-101B-9397-08002B2CF9AE}" pid="10" name="MSIP_Label_b7864bb8-b671-4bed-ba85-9478127ab5e9_Method">
    <vt:lpwstr>Standard</vt:lpwstr>
  </property>
  <property fmtid="{D5CDD505-2E9C-101B-9397-08002B2CF9AE}" pid="11" name="MSIP_Label_b7864bb8-b671-4bed-ba85-9478127ab5e9_Name">
    <vt:lpwstr>Confidential – 2023</vt:lpwstr>
  </property>
  <property fmtid="{D5CDD505-2E9C-101B-9397-08002B2CF9AE}" pid="12" name="MSIP_Label_b7864bb8-b671-4bed-ba85-9478127ab5e9_SiteId">
    <vt:lpwstr>36839a65-7f3f-4bac-9ea4-f571f10a9a03</vt:lpwstr>
  </property>
  <property fmtid="{D5CDD505-2E9C-101B-9397-08002B2CF9AE}" pid="13" name="MSIP_Label_b7864bb8-b671-4bed-ba85-9478127ab5e9_ActionId">
    <vt:lpwstr>a0204bc5-d698-4aa0-b7d5-45613251b792</vt:lpwstr>
  </property>
  <property fmtid="{D5CDD505-2E9C-101B-9397-08002B2CF9AE}" pid="14" name="MSIP_Label_b7864bb8-b671-4bed-ba85-9478127ab5e9_ContentBits">
    <vt:lpwstr>0</vt:lpwstr>
  </property>
  <property fmtid="{D5CDD505-2E9C-101B-9397-08002B2CF9AE}" pid="15" name="MediaServiceImageTags">
    <vt:lpwstr/>
  </property>
</Properties>
</file>