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D321" w14:textId="5BFF4EBD" w:rsidR="007F1C38" w:rsidRPr="00DA1B88" w:rsidRDefault="00EF54FC" w:rsidP="28F76285">
      <w:pPr>
        <w:spacing w:line="240" w:lineRule="auto"/>
        <w:rPr>
          <w:rStyle w:val="TitleChar"/>
          <w:b/>
          <w:bCs/>
          <w:color w:val="006666" w:themeColor="accent2"/>
          <w:sz w:val="40"/>
          <w:szCs w:val="40"/>
        </w:rPr>
      </w:pPr>
      <w:r w:rsidRPr="28F76285">
        <w:rPr>
          <w:rStyle w:val="TitleChar"/>
          <w:b/>
          <w:bCs/>
          <w:color w:val="006666" w:themeColor="accent2"/>
          <w:sz w:val="44"/>
          <w:szCs w:val="44"/>
        </w:rPr>
        <w:t xml:space="preserve">Building Performance Ordinance </w:t>
      </w:r>
      <w:r w:rsidR="00C47322" w:rsidRPr="28F76285">
        <w:rPr>
          <w:rStyle w:val="TitleChar"/>
          <w:b/>
          <w:bCs/>
          <w:color w:val="006666" w:themeColor="accent2"/>
          <w:sz w:val="44"/>
          <w:szCs w:val="44"/>
        </w:rPr>
        <w:t>–</w:t>
      </w:r>
      <w:r w:rsidRPr="28F76285">
        <w:rPr>
          <w:rStyle w:val="TitleChar"/>
          <w:b/>
          <w:bCs/>
          <w:color w:val="006666" w:themeColor="accent2"/>
          <w:sz w:val="44"/>
          <w:szCs w:val="44"/>
        </w:rPr>
        <w:t xml:space="preserve"> </w:t>
      </w:r>
      <w:r w:rsidR="00936858" w:rsidRPr="28F76285">
        <w:rPr>
          <w:rStyle w:val="TitleChar"/>
          <w:b/>
          <w:bCs/>
          <w:color w:val="006666" w:themeColor="accent2"/>
          <w:sz w:val="44"/>
          <w:szCs w:val="44"/>
        </w:rPr>
        <w:t>Exemptions</w:t>
      </w:r>
      <w:r w:rsidR="00C47322" w:rsidRPr="28F76285">
        <w:rPr>
          <w:rStyle w:val="TitleChar"/>
          <w:b/>
          <w:bCs/>
          <w:color w:val="006666" w:themeColor="accent2"/>
          <w:sz w:val="44"/>
          <w:szCs w:val="44"/>
        </w:rPr>
        <w:t xml:space="preserve"> Reference Guide</w:t>
      </w:r>
    </w:p>
    <w:p w14:paraId="470380C4" w14:textId="77FD81FB" w:rsidR="008F75AA" w:rsidRPr="008F75AA" w:rsidRDefault="00DA1B88" w:rsidP="00DB4B40">
      <w:pPr>
        <w:spacing w:line="240" w:lineRule="auto"/>
        <w:rPr>
          <w:rStyle w:val="SubtitleChar"/>
          <w:b/>
          <w:color w:val="006666" w:themeColor="accent2"/>
          <w:sz w:val="28"/>
        </w:rPr>
      </w:pPr>
      <w:r w:rsidRPr="00DA1B88">
        <w:rPr>
          <w:rStyle w:val="SubtitleChar"/>
        </w:rPr>
        <w:t xml:space="preserve">A </w:t>
      </w:r>
      <w:r w:rsidR="00936858">
        <w:rPr>
          <w:rStyle w:val="SubtitleChar"/>
        </w:rPr>
        <w:t>Reference Guide</w:t>
      </w:r>
      <w:r w:rsidR="008F75AA" w:rsidRPr="00DA1B88">
        <w:rPr>
          <w:rStyle w:val="SubtitleChar"/>
        </w:rPr>
        <w:t xml:space="preserve"> </w:t>
      </w:r>
      <w:r w:rsidRPr="00DA1B88">
        <w:rPr>
          <w:rStyle w:val="SubtitleChar"/>
        </w:rPr>
        <w:t xml:space="preserve">for </w:t>
      </w:r>
      <w:r w:rsidR="00936858">
        <w:rPr>
          <w:rStyle w:val="SubtitleChar"/>
        </w:rPr>
        <w:t>Exemptions from</w:t>
      </w:r>
      <w:r w:rsidRPr="00DA1B88">
        <w:rPr>
          <w:rStyle w:val="SubtitleChar"/>
        </w:rPr>
        <w:t xml:space="preserve"> the Building Performance Ordinance </w:t>
      </w:r>
      <w:r w:rsidR="00936858">
        <w:rPr>
          <w:rStyle w:val="SubtitleChar"/>
        </w:rPr>
        <w:t>R</w:t>
      </w:r>
      <w:r w:rsidRPr="00DA1B88">
        <w:rPr>
          <w:rStyle w:val="SubtitleChar"/>
        </w:rPr>
        <w:t>equirement</w:t>
      </w:r>
      <w:r w:rsidR="00936858">
        <w:rPr>
          <w:rStyle w:val="SubtitleChar"/>
        </w:rPr>
        <w:t>s</w:t>
      </w:r>
      <w:r w:rsidRPr="00DA1B88">
        <w:rPr>
          <w:rStyle w:val="SubtitleChar"/>
        </w:rPr>
        <w:t xml:space="preserve"> </w:t>
      </w:r>
    </w:p>
    <w:p w14:paraId="7E0C4381" w14:textId="5AA2DB09" w:rsidR="00936858" w:rsidRDefault="00936858" w:rsidP="005A4851">
      <w:bookmarkStart w:id="0" w:name="_Toc430955066"/>
      <w:bookmarkStart w:id="1" w:name="_Toc502146987"/>
    </w:p>
    <w:sdt>
      <w:sdtPr>
        <w:rPr>
          <w:rFonts w:asciiTheme="minorHAnsi" w:eastAsiaTheme="minorEastAsia" w:hAnsiTheme="minorHAnsi" w:cstheme="minorBidi"/>
          <w:color w:val="auto"/>
          <w:sz w:val="22"/>
          <w:szCs w:val="22"/>
        </w:rPr>
        <w:id w:val="-2095545063"/>
        <w:docPartObj>
          <w:docPartGallery w:val="Table of Contents"/>
          <w:docPartUnique/>
        </w:docPartObj>
      </w:sdtPr>
      <w:sdtEndPr>
        <w:rPr>
          <w:b/>
          <w:bCs/>
          <w:noProof/>
        </w:rPr>
      </w:sdtEndPr>
      <w:sdtContent>
        <w:p w14:paraId="18C86CC4" w14:textId="3C526F80" w:rsidR="00A5434E" w:rsidRPr="00A5434E" w:rsidRDefault="00A5434E">
          <w:pPr>
            <w:pStyle w:val="TOCHeading"/>
            <w:rPr>
              <w:b/>
            </w:rPr>
          </w:pPr>
          <w:r w:rsidRPr="00A5434E">
            <w:rPr>
              <w:b/>
            </w:rPr>
            <w:t>Contents</w:t>
          </w:r>
        </w:p>
        <w:p w14:paraId="097863A0" w14:textId="03D57CAA" w:rsidR="00A5434E" w:rsidRDefault="00A5434E">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530475247" w:history="1">
            <w:r w:rsidRPr="0004636F">
              <w:rPr>
                <w:rStyle w:val="Hyperlink"/>
                <w:b/>
                <w:noProof/>
              </w:rPr>
              <w:t>About this Guide</w:t>
            </w:r>
            <w:r>
              <w:rPr>
                <w:noProof/>
                <w:webHidden/>
              </w:rPr>
              <w:tab/>
            </w:r>
            <w:r>
              <w:rPr>
                <w:noProof/>
                <w:webHidden/>
              </w:rPr>
              <w:fldChar w:fldCharType="begin"/>
            </w:r>
            <w:r>
              <w:rPr>
                <w:noProof/>
                <w:webHidden/>
              </w:rPr>
              <w:instrText xml:space="preserve"> PAGEREF _Toc530475247 \h </w:instrText>
            </w:r>
            <w:r>
              <w:rPr>
                <w:noProof/>
                <w:webHidden/>
              </w:rPr>
            </w:r>
            <w:r>
              <w:rPr>
                <w:noProof/>
                <w:webHidden/>
              </w:rPr>
              <w:fldChar w:fldCharType="separate"/>
            </w:r>
            <w:r>
              <w:rPr>
                <w:noProof/>
                <w:webHidden/>
              </w:rPr>
              <w:t>1</w:t>
            </w:r>
            <w:r>
              <w:rPr>
                <w:noProof/>
                <w:webHidden/>
              </w:rPr>
              <w:fldChar w:fldCharType="end"/>
            </w:r>
          </w:hyperlink>
        </w:p>
        <w:p w14:paraId="6A92B54F" w14:textId="5D39BE04" w:rsidR="00A5434E" w:rsidRDefault="00A5434E">
          <w:pPr>
            <w:pStyle w:val="TOC2"/>
            <w:tabs>
              <w:tab w:val="right" w:leader="dot" w:pos="9350"/>
            </w:tabs>
            <w:rPr>
              <w:rFonts w:eastAsiaTheme="minorEastAsia"/>
              <w:noProof/>
            </w:rPr>
          </w:pPr>
          <w:hyperlink w:anchor="_Toc530475248" w:history="1">
            <w:r w:rsidRPr="0004636F">
              <w:rPr>
                <w:rStyle w:val="Hyperlink"/>
                <w:noProof/>
              </w:rPr>
              <w:t>Why Are Exemptions Available?</w:t>
            </w:r>
            <w:r>
              <w:rPr>
                <w:noProof/>
                <w:webHidden/>
              </w:rPr>
              <w:tab/>
            </w:r>
            <w:r>
              <w:rPr>
                <w:noProof/>
                <w:webHidden/>
              </w:rPr>
              <w:fldChar w:fldCharType="begin"/>
            </w:r>
            <w:r>
              <w:rPr>
                <w:noProof/>
                <w:webHidden/>
              </w:rPr>
              <w:instrText xml:space="preserve"> PAGEREF _Toc530475248 \h </w:instrText>
            </w:r>
            <w:r>
              <w:rPr>
                <w:noProof/>
                <w:webHidden/>
              </w:rPr>
            </w:r>
            <w:r>
              <w:rPr>
                <w:noProof/>
                <w:webHidden/>
              </w:rPr>
              <w:fldChar w:fldCharType="separate"/>
            </w:r>
            <w:r>
              <w:rPr>
                <w:noProof/>
                <w:webHidden/>
              </w:rPr>
              <w:t>1</w:t>
            </w:r>
            <w:r>
              <w:rPr>
                <w:noProof/>
                <w:webHidden/>
              </w:rPr>
              <w:fldChar w:fldCharType="end"/>
            </w:r>
          </w:hyperlink>
        </w:p>
        <w:p w14:paraId="19427CC8" w14:textId="22D2CF73" w:rsidR="00A5434E" w:rsidRDefault="00A5434E">
          <w:pPr>
            <w:pStyle w:val="TOC1"/>
            <w:tabs>
              <w:tab w:val="right" w:leader="dot" w:pos="9350"/>
            </w:tabs>
            <w:rPr>
              <w:rFonts w:eastAsiaTheme="minorEastAsia"/>
              <w:noProof/>
            </w:rPr>
          </w:pPr>
          <w:hyperlink w:anchor="_Toc530475249" w:history="1">
            <w:r w:rsidRPr="0004636F">
              <w:rPr>
                <w:rStyle w:val="Hyperlink"/>
                <w:b/>
                <w:noProof/>
              </w:rPr>
              <w:t>Exemptions from All Requirements</w:t>
            </w:r>
            <w:r>
              <w:rPr>
                <w:noProof/>
                <w:webHidden/>
              </w:rPr>
              <w:tab/>
            </w:r>
            <w:r>
              <w:rPr>
                <w:noProof/>
                <w:webHidden/>
              </w:rPr>
              <w:fldChar w:fldCharType="begin"/>
            </w:r>
            <w:r>
              <w:rPr>
                <w:noProof/>
                <w:webHidden/>
              </w:rPr>
              <w:instrText xml:space="preserve"> PAGEREF _Toc530475249 \h </w:instrText>
            </w:r>
            <w:r>
              <w:rPr>
                <w:noProof/>
                <w:webHidden/>
              </w:rPr>
            </w:r>
            <w:r>
              <w:rPr>
                <w:noProof/>
                <w:webHidden/>
              </w:rPr>
              <w:fldChar w:fldCharType="separate"/>
            </w:r>
            <w:r>
              <w:rPr>
                <w:noProof/>
                <w:webHidden/>
              </w:rPr>
              <w:t>2</w:t>
            </w:r>
            <w:r>
              <w:rPr>
                <w:noProof/>
                <w:webHidden/>
              </w:rPr>
              <w:fldChar w:fldCharType="end"/>
            </w:r>
          </w:hyperlink>
        </w:p>
        <w:p w14:paraId="26B9B968" w14:textId="1055FC55" w:rsidR="00A5434E" w:rsidRDefault="00A5434E">
          <w:pPr>
            <w:pStyle w:val="TOC1"/>
            <w:tabs>
              <w:tab w:val="right" w:leader="dot" w:pos="9350"/>
            </w:tabs>
            <w:rPr>
              <w:rFonts w:eastAsiaTheme="minorEastAsia"/>
              <w:noProof/>
            </w:rPr>
          </w:pPr>
          <w:hyperlink w:anchor="_Toc530475250" w:history="1">
            <w:r w:rsidRPr="0004636F">
              <w:rPr>
                <w:rStyle w:val="Hyperlink"/>
                <w:b/>
                <w:noProof/>
              </w:rPr>
              <w:t>Exemptions from Rating and Reporting Only</w:t>
            </w:r>
            <w:r>
              <w:rPr>
                <w:noProof/>
                <w:webHidden/>
              </w:rPr>
              <w:tab/>
            </w:r>
            <w:r>
              <w:rPr>
                <w:noProof/>
                <w:webHidden/>
              </w:rPr>
              <w:fldChar w:fldCharType="begin"/>
            </w:r>
            <w:r>
              <w:rPr>
                <w:noProof/>
                <w:webHidden/>
              </w:rPr>
              <w:instrText xml:space="preserve"> PAGEREF _Toc530475250 \h </w:instrText>
            </w:r>
            <w:r>
              <w:rPr>
                <w:noProof/>
                <w:webHidden/>
              </w:rPr>
            </w:r>
            <w:r>
              <w:rPr>
                <w:noProof/>
                <w:webHidden/>
              </w:rPr>
              <w:fldChar w:fldCharType="separate"/>
            </w:r>
            <w:r>
              <w:rPr>
                <w:noProof/>
                <w:webHidden/>
              </w:rPr>
              <w:t>2</w:t>
            </w:r>
            <w:r>
              <w:rPr>
                <w:noProof/>
                <w:webHidden/>
              </w:rPr>
              <w:fldChar w:fldCharType="end"/>
            </w:r>
          </w:hyperlink>
        </w:p>
        <w:p w14:paraId="3E0A9FD3" w14:textId="39C89D7B" w:rsidR="00A5434E" w:rsidRDefault="00A5434E">
          <w:pPr>
            <w:pStyle w:val="TOC1"/>
            <w:tabs>
              <w:tab w:val="right" w:leader="dot" w:pos="9350"/>
            </w:tabs>
            <w:rPr>
              <w:rFonts w:eastAsiaTheme="minorEastAsia"/>
              <w:noProof/>
            </w:rPr>
          </w:pPr>
          <w:hyperlink w:anchor="_Toc530475251" w:history="1">
            <w:r w:rsidRPr="0004636F">
              <w:rPr>
                <w:rStyle w:val="Hyperlink"/>
                <w:b/>
                <w:noProof/>
              </w:rPr>
              <w:t>Exemptions from All Efficiency Requirements (Energy Assessment, RCx, Lighting)</w:t>
            </w:r>
            <w:r>
              <w:rPr>
                <w:noProof/>
                <w:webHidden/>
              </w:rPr>
              <w:tab/>
            </w:r>
            <w:r>
              <w:rPr>
                <w:noProof/>
                <w:webHidden/>
              </w:rPr>
              <w:fldChar w:fldCharType="begin"/>
            </w:r>
            <w:r>
              <w:rPr>
                <w:noProof/>
                <w:webHidden/>
              </w:rPr>
              <w:instrText xml:space="preserve"> PAGEREF _Toc530475251 \h </w:instrText>
            </w:r>
            <w:r>
              <w:rPr>
                <w:noProof/>
                <w:webHidden/>
              </w:rPr>
            </w:r>
            <w:r>
              <w:rPr>
                <w:noProof/>
                <w:webHidden/>
              </w:rPr>
              <w:fldChar w:fldCharType="separate"/>
            </w:r>
            <w:r>
              <w:rPr>
                <w:noProof/>
                <w:webHidden/>
              </w:rPr>
              <w:t>3</w:t>
            </w:r>
            <w:r>
              <w:rPr>
                <w:noProof/>
                <w:webHidden/>
              </w:rPr>
              <w:fldChar w:fldCharType="end"/>
            </w:r>
          </w:hyperlink>
        </w:p>
        <w:p w14:paraId="38A241B6" w14:textId="3B2F50F2" w:rsidR="00A5434E" w:rsidRDefault="00A5434E">
          <w:pPr>
            <w:pStyle w:val="TOC2"/>
            <w:tabs>
              <w:tab w:val="right" w:leader="dot" w:pos="9350"/>
            </w:tabs>
            <w:rPr>
              <w:rFonts w:eastAsiaTheme="minorEastAsia"/>
              <w:noProof/>
            </w:rPr>
          </w:pPr>
          <w:hyperlink w:anchor="_Toc530475252" w:history="1">
            <w:r w:rsidRPr="0004636F">
              <w:rPr>
                <w:rStyle w:val="Hyperlink"/>
                <w:noProof/>
              </w:rPr>
              <w:t>Maintaining an Efficiency Exemption</w:t>
            </w:r>
            <w:r>
              <w:rPr>
                <w:noProof/>
                <w:webHidden/>
              </w:rPr>
              <w:tab/>
            </w:r>
            <w:r>
              <w:rPr>
                <w:noProof/>
                <w:webHidden/>
              </w:rPr>
              <w:fldChar w:fldCharType="begin"/>
            </w:r>
            <w:r>
              <w:rPr>
                <w:noProof/>
                <w:webHidden/>
              </w:rPr>
              <w:instrText xml:space="preserve"> PAGEREF _Toc530475252 \h </w:instrText>
            </w:r>
            <w:r>
              <w:rPr>
                <w:noProof/>
                <w:webHidden/>
              </w:rPr>
            </w:r>
            <w:r>
              <w:rPr>
                <w:noProof/>
                <w:webHidden/>
              </w:rPr>
              <w:fldChar w:fldCharType="separate"/>
            </w:r>
            <w:r>
              <w:rPr>
                <w:noProof/>
                <w:webHidden/>
              </w:rPr>
              <w:t>4</w:t>
            </w:r>
            <w:r>
              <w:rPr>
                <w:noProof/>
                <w:webHidden/>
              </w:rPr>
              <w:fldChar w:fldCharType="end"/>
            </w:r>
          </w:hyperlink>
        </w:p>
        <w:p w14:paraId="43BFB7B6" w14:textId="1F31998D" w:rsidR="00A5434E" w:rsidRDefault="00A5434E">
          <w:pPr>
            <w:pStyle w:val="TOC1"/>
            <w:tabs>
              <w:tab w:val="right" w:leader="dot" w:pos="9350"/>
            </w:tabs>
            <w:rPr>
              <w:rFonts w:eastAsiaTheme="minorEastAsia"/>
              <w:noProof/>
            </w:rPr>
          </w:pPr>
          <w:hyperlink w:anchor="_Toc530475253" w:history="1">
            <w:r w:rsidRPr="0004636F">
              <w:rPr>
                <w:rStyle w:val="Hyperlink"/>
                <w:b/>
                <w:noProof/>
              </w:rPr>
              <w:t>Exemptions from Energy Assessment Requirement Only</w:t>
            </w:r>
            <w:r>
              <w:rPr>
                <w:noProof/>
                <w:webHidden/>
              </w:rPr>
              <w:tab/>
            </w:r>
            <w:r>
              <w:rPr>
                <w:noProof/>
                <w:webHidden/>
              </w:rPr>
              <w:fldChar w:fldCharType="begin"/>
            </w:r>
            <w:r>
              <w:rPr>
                <w:noProof/>
                <w:webHidden/>
              </w:rPr>
              <w:instrText xml:space="preserve"> PAGEREF _Toc530475253 \h </w:instrText>
            </w:r>
            <w:r>
              <w:rPr>
                <w:noProof/>
                <w:webHidden/>
              </w:rPr>
            </w:r>
            <w:r>
              <w:rPr>
                <w:noProof/>
                <w:webHidden/>
              </w:rPr>
              <w:fldChar w:fldCharType="separate"/>
            </w:r>
            <w:r>
              <w:rPr>
                <w:noProof/>
                <w:webHidden/>
              </w:rPr>
              <w:t>5</w:t>
            </w:r>
            <w:r>
              <w:rPr>
                <w:noProof/>
                <w:webHidden/>
              </w:rPr>
              <w:fldChar w:fldCharType="end"/>
            </w:r>
          </w:hyperlink>
        </w:p>
        <w:p w14:paraId="2CF79DBB" w14:textId="6A100507" w:rsidR="00A5434E" w:rsidRDefault="00A5434E">
          <w:pPr>
            <w:pStyle w:val="TOC1"/>
            <w:tabs>
              <w:tab w:val="right" w:leader="dot" w:pos="9350"/>
            </w:tabs>
            <w:rPr>
              <w:rFonts w:eastAsiaTheme="minorEastAsia"/>
              <w:noProof/>
            </w:rPr>
          </w:pPr>
          <w:hyperlink w:anchor="_Toc530475254" w:history="1">
            <w:r w:rsidRPr="0004636F">
              <w:rPr>
                <w:rStyle w:val="Hyperlink"/>
                <w:b/>
                <w:noProof/>
              </w:rPr>
              <w:t>Exemptions from Retrocommissioning Requirement Only</w:t>
            </w:r>
            <w:r>
              <w:rPr>
                <w:noProof/>
                <w:webHidden/>
              </w:rPr>
              <w:tab/>
            </w:r>
            <w:r>
              <w:rPr>
                <w:noProof/>
                <w:webHidden/>
              </w:rPr>
              <w:fldChar w:fldCharType="begin"/>
            </w:r>
            <w:r>
              <w:rPr>
                <w:noProof/>
                <w:webHidden/>
              </w:rPr>
              <w:instrText xml:space="preserve"> PAGEREF _Toc530475254 \h </w:instrText>
            </w:r>
            <w:r>
              <w:rPr>
                <w:noProof/>
                <w:webHidden/>
              </w:rPr>
            </w:r>
            <w:r>
              <w:rPr>
                <w:noProof/>
                <w:webHidden/>
              </w:rPr>
              <w:fldChar w:fldCharType="separate"/>
            </w:r>
            <w:r>
              <w:rPr>
                <w:noProof/>
                <w:webHidden/>
              </w:rPr>
              <w:t>6</w:t>
            </w:r>
            <w:r>
              <w:rPr>
                <w:noProof/>
                <w:webHidden/>
              </w:rPr>
              <w:fldChar w:fldCharType="end"/>
            </w:r>
          </w:hyperlink>
        </w:p>
        <w:p w14:paraId="326AD5E4" w14:textId="768606C4" w:rsidR="00A5434E" w:rsidRDefault="00A5434E">
          <w:pPr>
            <w:pStyle w:val="TOC1"/>
            <w:tabs>
              <w:tab w:val="right" w:leader="dot" w:pos="9350"/>
            </w:tabs>
            <w:rPr>
              <w:rFonts w:eastAsiaTheme="minorEastAsia"/>
              <w:noProof/>
            </w:rPr>
          </w:pPr>
          <w:hyperlink w:anchor="_Toc530475255" w:history="1">
            <w:r w:rsidRPr="0004636F">
              <w:rPr>
                <w:rStyle w:val="Hyperlink"/>
                <w:b/>
                <w:noProof/>
              </w:rPr>
              <w:t>Exemptions from Public Disclosure</w:t>
            </w:r>
            <w:r>
              <w:rPr>
                <w:noProof/>
                <w:webHidden/>
              </w:rPr>
              <w:tab/>
            </w:r>
            <w:r>
              <w:rPr>
                <w:noProof/>
                <w:webHidden/>
              </w:rPr>
              <w:fldChar w:fldCharType="begin"/>
            </w:r>
            <w:r>
              <w:rPr>
                <w:noProof/>
                <w:webHidden/>
              </w:rPr>
              <w:instrText xml:space="preserve"> PAGEREF _Toc530475255 \h </w:instrText>
            </w:r>
            <w:r>
              <w:rPr>
                <w:noProof/>
                <w:webHidden/>
              </w:rPr>
            </w:r>
            <w:r>
              <w:rPr>
                <w:noProof/>
                <w:webHidden/>
              </w:rPr>
              <w:fldChar w:fldCharType="separate"/>
            </w:r>
            <w:r>
              <w:rPr>
                <w:noProof/>
                <w:webHidden/>
              </w:rPr>
              <w:t>6</w:t>
            </w:r>
            <w:r>
              <w:rPr>
                <w:noProof/>
                <w:webHidden/>
              </w:rPr>
              <w:fldChar w:fldCharType="end"/>
            </w:r>
          </w:hyperlink>
        </w:p>
        <w:p w14:paraId="479C6631" w14:textId="0FB935A9" w:rsidR="00A5434E" w:rsidRDefault="00A5434E">
          <w:pPr>
            <w:pStyle w:val="TOC1"/>
            <w:tabs>
              <w:tab w:val="right" w:leader="dot" w:pos="9350"/>
            </w:tabs>
            <w:rPr>
              <w:rFonts w:eastAsiaTheme="minorEastAsia"/>
              <w:noProof/>
            </w:rPr>
          </w:pPr>
          <w:hyperlink w:anchor="_Toc530475256" w:history="1">
            <w:r w:rsidRPr="0004636F">
              <w:rPr>
                <w:rStyle w:val="Hyperlink"/>
                <w:b/>
                <w:noProof/>
              </w:rPr>
              <w:t>Other Exemptions</w:t>
            </w:r>
            <w:r>
              <w:rPr>
                <w:noProof/>
                <w:webHidden/>
              </w:rPr>
              <w:tab/>
            </w:r>
            <w:r>
              <w:rPr>
                <w:noProof/>
                <w:webHidden/>
              </w:rPr>
              <w:fldChar w:fldCharType="begin"/>
            </w:r>
            <w:r>
              <w:rPr>
                <w:noProof/>
                <w:webHidden/>
              </w:rPr>
              <w:instrText xml:space="preserve"> PAGEREF _Toc530475256 \h </w:instrText>
            </w:r>
            <w:r>
              <w:rPr>
                <w:noProof/>
                <w:webHidden/>
              </w:rPr>
            </w:r>
            <w:r>
              <w:rPr>
                <w:noProof/>
                <w:webHidden/>
              </w:rPr>
              <w:fldChar w:fldCharType="separate"/>
            </w:r>
            <w:r>
              <w:rPr>
                <w:noProof/>
                <w:webHidden/>
              </w:rPr>
              <w:t>7</w:t>
            </w:r>
            <w:r>
              <w:rPr>
                <w:noProof/>
                <w:webHidden/>
              </w:rPr>
              <w:fldChar w:fldCharType="end"/>
            </w:r>
          </w:hyperlink>
        </w:p>
        <w:p w14:paraId="5C0149E2" w14:textId="0E08FA56" w:rsidR="00A5434E" w:rsidRDefault="00A5434E">
          <w:r>
            <w:rPr>
              <w:b/>
              <w:bCs/>
              <w:noProof/>
            </w:rPr>
            <w:fldChar w:fldCharType="end"/>
          </w:r>
        </w:p>
      </w:sdtContent>
    </w:sdt>
    <w:p w14:paraId="34B9DEBB" w14:textId="2196E91B" w:rsidR="00A5434E" w:rsidRPr="00A5434E" w:rsidRDefault="00A5434E" w:rsidP="00A5434E">
      <w:pPr>
        <w:pStyle w:val="Heading1"/>
        <w:numPr>
          <w:ilvl w:val="0"/>
          <w:numId w:val="0"/>
        </w:numPr>
        <w:rPr>
          <w:b/>
          <w:sz w:val="28"/>
        </w:rPr>
      </w:pPr>
      <w:bookmarkStart w:id="2" w:name="_Toc530475247"/>
      <w:r w:rsidRPr="00A5434E">
        <w:rPr>
          <w:b/>
          <w:sz w:val="28"/>
        </w:rPr>
        <w:t xml:space="preserve">About this </w:t>
      </w:r>
      <w:r>
        <w:rPr>
          <w:b/>
          <w:sz w:val="28"/>
        </w:rPr>
        <w:t>G</w:t>
      </w:r>
      <w:r w:rsidRPr="00A5434E">
        <w:rPr>
          <w:b/>
          <w:sz w:val="28"/>
        </w:rPr>
        <w:t>uide</w:t>
      </w:r>
      <w:bookmarkEnd w:id="2"/>
    </w:p>
    <w:p w14:paraId="3ACFB849" w14:textId="4F4C5F3F" w:rsidR="005A4851" w:rsidRDefault="005A4851" w:rsidP="005A4851">
      <w:pPr>
        <w:rPr>
          <w:szCs w:val="24"/>
        </w:rPr>
      </w:pPr>
      <w:r>
        <w:t xml:space="preserve">This </w:t>
      </w:r>
      <w:r w:rsidR="00936858">
        <w:t>reference guide</w:t>
      </w:r>
      <w:r>
        <w:t xml:space="preserve"> describes the available exemptions from the </w:t>
      </w:r>
      <w:r w:rsidR="00936858">
        <w:t>Building Performance O</w:t>
      </w:r>
      <w:r>
        <w:t>rdinance requirements and provides examples and recommendations for applying for an exemption. B</w:t>
      </w:r>
      <w:r w:rsidRPr="00AC0FC5">
        <w:t xml:space="preserve">uilding owners are required to meet all requirements of the </w:t>
      </w:r>
      <w:r>
        <w:t>o</w:t>
      </w:r>
      <w:r w:rsidRPr="00AC0FC5">
        <w:t xml:space="preserve">rdinance unless they have applied for, and received, an exemption from the </w:t>
      </w:r>
      <w:r>
        <w:t>City</w:t>
      </w:r>
      <w:r w:rsidRPr="00AC0FC5">
        <w:t xml:space="preserve"> Manager.</w:t>
      </w:r>
      <w:r>
        <w:t xml:space="preserve"> </w:t>
      </w:r>
      <w:r w:rsidRPr="00654050">
        <w:rPr>
          <w:szCs w:val="24"/>
        </w:rPr>
        <w:t xml:space="preserve">Applications must be received by the </w:t>
      </w:r>
      <w:r>
        <w:rPr>
          <w:szCs w:val="24"/>
        </w:rPr>
        <w:t>city</w:t>
      </w:r>
      <w:r w:rsidRPr="00654050">
        <w:rPr>
          <w:szCs w:val="24"/>
        </w:rPr>
        <w:t xml:space="preserve"> at least 60 days prior to the </w:t>
      </w:r>
      <w:r>
        <w:rPr>
          <w:szCs w:val="24"/>
        </w:rPr>
        <w:t>requirement</w:t>
      </w:r>
      <w:r w:rsidRPr="00654050">
        <w:rPr>
          <w:szCs w:val="24"/>
        </w:rPr>
        <w:t xml:space="preserve"> deadline.</w:t>
      </w:r>
      <w:r w:rsidRPr="007E1B6E">
        <w:rPr>
          <w:szCs w:val="24"/>
        </w:rPr>
        <w:t xml:space="preserve"> </w:t>
      </w:r>
    </w:p>
    <w:p w14:paraId="4920147F" w14:textId="2D8253ED" w:rsidR="00936858" w:rsidRDefault="005A4851" w:rsidP="00936858">
      <w:r w:rsidRPr="007E1B6E">
        <w:t xml:space="preserve">To apply for an exemption, </w:t>
      </w:r>
      <w:r>
        <w:t>owners</w:t>
      </w:r>
      <w:r w:rsidRPr="007E1B6E">
        <w:t xml:space="preserve"> must fill out and</w:t>
      </w:r>
      <w:r w:rsidRPr="000918CD">
        <w:rPr>
          <w:rStyle w:val="Strong"/>
          <w:rFonts w:cs="Times New Roman"/>
        </w:rPr>
        <w:t xml:space="preserve"> submit the Boulder Building Performance</w:t>
      </w:r>
      <w:r>
        <w:rPr>
          <w:rStyle w:val="Strong"/>
          <w:rFonts w:cs="Times New Roman"/>
        </w:rPr>
        <w:t xml:space="preserve"> </w:t>
      </w:r>
      <w:hyperlink r:id="rId12" w:history="1">
        <w:r w:rsidRPr="000B2C71">
          <w:rPr>
            <w:rStyle w:val="Hyperlink"/>
            <w:rFonts w:cs="Times New Roman"/>
          </w:rPr>
          <w:t>Exemption Request</w:t>
        </w:r>
      </w:hyperlink>
      <w:r>
        <w:rPr>
          <w:rStyle w:val="FootnoteReference"/>
          <w:rFonts w:cs="Times New Roman"/>
          <w:bCs/>
        </w:rPr>
        <w:footnoteReference w:id="1"/>
      </w:r>
      <w:r>
        <w:rPr>
          <w:rStyle w:val="Strong"/>
          <w:rFonts w:cs="Times New Roman"/>
        </w:rPr>
        <w:t xml:space="preserve"> with</w:t>
      </w:r>
      <w:r w:rsidRPr="000918CD">
        <w:rPr>
          <w:rStyle w:val="Strong"/>
          <w:rFonts w:cs="Times New Roman"/>
        </w:rPr>
        <w:t xml:space="preserve"> all required support</w:t>
      </w:r>
      <w:r>
        <w:rPr>
          <w:rStyle w:val="Strong"/>
          <w:rFonts w:cs="Times New Roman"/>
        </w:rPr>
        <w:t>ing</w:t>
      </w:r>
      <w:r w:rsidRPr="000918CD">
        <w:rPr>
          <w:rStyle w:val="Strong"/>
          <w:rFonts w:cs="Times New Roman"/>
        </w:rPr>
        <w:t xml:space="preserve"> documentation</w:t>
      </w:r>
      <w:r>
        <w:rPr>
          <w:rStyle w:val="Strong"/>
          <w:rFonts w:cs="Times New Roman"/>
        </w:rPr>
        <w:t xml:space="preserve"> for that exemption</w:t>
      </w:r>
      <w:r w:rsidRPr="000918CD">
        <w:rPr>
          <w:rStyle w:val="Strong"/>
          <w:rFonts w:cs="Times New Roman"/>
        </w:rPr>
        <w:t xml:space="preserve">. </w:t>
      </w:r>
      <w:r w:rsidRPr="00D27B37">
        <w:t xml:space="preserve">The city may request additional </w:t>
      </w:r>
      <w:r>
        <w:t>documentation during the review beyond what is included in this section.</w:t>
      </w:r>
      <w:bookmarkStart w:id="3" w:name="_Toc440434948"/>
      <w:bookmarkStart w:id="4" w:name="_Toc441843078"/>
      <w:bookmarkStart w:id="5" w:name="_Toc445462113"/>
      <w:bookmarkStart w:id="6" w:name="_Toc445462987"/>
      <w:bookmarkStart w:id="7" w:name="_Toc485220666"/>
    </w:p>
    <w:p w14:paraId="4A8516C6" w14:textId="03896624" w:rsidR="005A4851" w:rsidRPr="00936858" w:rsidRDefault="005A4851" w:rsidP="00936858">
      <w:pPr>
        <w:pStyle w:val="Heading2"/>
      </w:pPr>
      <w:bookmarkStart w:id="8" w:name="_Toc530475248"/>
      <w:r w:rsidRPr="0003491F">
        <w:t>Why Are Exemptions Available?</w:t>
      </w:r>
      <w:bookmarkEnd w:id="3"/>
      <w:bookmarkEnd w:id="4"/>
      <w:bookmarkEnd w:id="5"/>
      <w:bookmarkEnd w:id="6"/>
      <w:bookmarkEnd w:id="7"/>
      <w:bookmarkEnd w:id="8"/>
    </w:p>
    <w:p w14:paraId="6EC79287" w14:textId="77777777" w:rsidR="005A4851" w:rsidRDefault="005A4851" w:rsidP="005A4851">
      <w:pPr>
        <w:rPr>
          <w:szCs w:val="24"/>
        </w:rPr>
      </w:pPr>
      <w:r w:rsidRPr="00E402FB">
        <w:t xml:space="preserve">The </w:t>
      </w:r>
      <w:r>
        <w:t>City</w:t>
      </w:r>
      <w:r w:rsidRPr="00E402FB">
        <w:t xml:space="preserve"> of Boulder </w:t>
      </w:r>
      <w:r>
        <w:t>structured this ordinance</w:t>
      </w:r>
      <w:r w:rsidRPr="00E402FB">
        <w:t xml:space="preserve"> to reward building owners</w:t>
      </w:r>
      <w:r>
        <w:t xml:space="preserve"> who have already been prioritizing efficiency</w:t>
      </w:r>
      <w:r w:rsidRPr="00E402FB">
        <w:t xml:space="preserve">. If </w:t>
      </w:r>
      <w:r>
        <w:t>an owner has</w:t>
      </w:r>
      <w:r w:rsidRPr="00E402FB">
        <w:t xml:space="preserve"> constructed, purchased or upgraded a building with high levels of energy efficiency, </w:t>
      </w:r>
      <w:r>
        <w:t xml:space="preserve">they are </w:t>
      </w:r>
      <w:r w:rsidRPr="00E402FB">
        <w:t>encourage</w:t>
      </w:r>
      <w:r>
        <w:t>d</w:t>
      </w:r>
      <w:r w:rsidRPr="00E402FB">
        <w:t xml:space="preserve"> to </w:t>
      </w:r>
      <w:r>
        <w:t>review the exemptions to see</w:t>
      </w:r>
      <w:r w:rsidRPr="00E402FB">
        <w:t xml:space="preserve"> if </w:t>
      </w:r>
      <w:r>
        <w:t>they</w:t>
      </w:r>
      <w:r w:rsidRPr="00E402FB">
        <w:t xml:space="preserve"> qualify. </w:t>
      </w:r>
      <w:r>
        <w:rPr>
          <w:szCs w:val="24"/>
        </w:rPr>
        <w:t xml:space="preserve">The exemptions </w:t>
      </w:r>
      <w:r>
        <w:rPr>
          <w:szCs w:val="24"/>
        </w:rPr>
        <w:lastRenderedPageBreak/>
        <w:t>also address unique situations, such as dealing with financial hardship, which may inhibit a building owner’s ability to meet the ordinance requirements.</w:t>
      </w:r>
    </w:p>
    <w:p w14:paraId="794D34C2" w14:textId="77777777" w:rsidR="005A4851" w:rsidRPr="00936858" w:rsidRDefault="005A4851" w:rsidP="00936858">
      <w:pPr>
        <w:pStyle w:val="Heading1"/>
        <w:numPr>
          <w:ilvl w:val="0"/>
          <w:numId w:val="0"/>
        </w:numPr>
        <w:rPr>
          <w:b/>
          <w:sz w:val="28"/>
        </w:rPr>
      </w:pPr>
      <w:bookmarkStart w:id="9" w:name="_Toc445906779"/>
      <w:bookmarkStart w:id="10" w:name="_Toc445906937"/>
      <w:bookmarkStart w:id="11" w:name="_Toc445907093"/>
      <w:bookmarkStart w:id="12" w:name="_Toc445907249"/>
      <w:bookmarkStart w:id="13" w:name="_Toc445907407"/>
      <w:bookmarkStart w:id="14" w:name="_Toc445907563"/>
      <w:bookmarkStart w:id="15" w:name="_Toc445907719"/>
      <w:bookmarkStart w:id="16" w:name="_Toc445907875"/>
      <w:bookmarkStart w:id="17" w:name="_Toc445908031"/>
      <w:bookmarkStart w:id="18" w:name="_Toc445462114"/>
      <w:bookmarkStart w:id="19" w:name="_Toc445462988"/>
      <w:bookmarkStart w:id="20" w:name="_Toc485220667"/>
      <w:bookmarkStart w:id="21" w:name="_Toc530475249"/>
      <w:bookmarkStart w:id="22" w:name="_Toc441843080"/>
      <w:bookmarkEnd w:id="9"/>
      <w:bookmarkEnd w:id="10"/>
      <w:bookmarkEnd w:id="11"/>
      <w:bookmarkEnd w:id="12"/>
      <w:bookmarkEnd w:id="13"/>
      <w:bookmarkEnd w:id="14"/>
      <w:bookmarkEnd w:id="15"/>
      <w:bookmarkEnd w:id="16"/>
      <w:bookmarkEnd w:id="17"/>
      <w:r w:rsidRPr="00936858">
        <w:rPr>
          <w:b/>
          <w:sz w:val="28"/>
        </w:rPr>
        <w:t>Exemptions from All Requirements</w:t>
      </w:r>
      <w:bookmarkEnd w:id="18"/>
      <w:bookmarkEnd w:id="19"/>
      <w:bookmarkEnd w:id="20"/>
      <w:bookmarkEnd w:id="21"/>
      <w:r w:rsidRPr="00936858">
        <w:rPr>
          <w:b/>
          <w:sz w:val="28"/>
        </w:rPr>
        <w:t xml:space="preserve"> </w:t>
      </w:r>
      <w:bookmarkEnd w:id="22"/>
    </w:p>
    <w:p w14:paraId="21EDF016" w14:textId="77777777" w:rsidR="005A4851" w:rsidRDefault="005A4851" w:rsidP="005A4851">
      <w:r w:rsidRPr="00654050">
        <w:t xml:space="preserve">Commercial and industrial building owners may be exempt from </w:t>
      </w:r>
      <w:r w:rsidRPr="001D54FF">
        <w:rPr>
          <w:i/>
        </w:rPr>
        <w:t xml:space="preserve">all </w:t>
      </w:r>
      <w:r w:rsidRPr="00654050">
        <w:t xml:space="preserve">requirements if: </w:t>
      </w:r>
    </w:p>
    <w:p w14:paraId="40204E57" w14:textId="77777777" w:rsidR="005A4851" w:rsidRPr="00DE4653" w:rsidRDefault="005A4851" w:rsidP="00A5434E">
      <w:pPr>
        <w:pStyle w:val="NoSpacing"/>
        <w:numPr>
          <w:ilvl w:val="0"/>
          <w:numId w:val="6"/>
        </w:numPr>
        <w:rPr>
          <w:b/>
        </w:rPr>
      </w:pPr>
      <w:r w:rsidRPr="00DE4653">
        <w:rPr>
          <w:b/>
        </w:rPr>
        <w:t>The building is unconditioned and unlit.</w:t>
      </w:r>
    </w:p>
    <w:p w14:paraId="326A2AFC" w14:textId="77777777" w:rsidR="005A4851" w:rsidRDefault="005A4851" w:rsidP="00A5434E">
      <w:pPr>
        <w:pStyle w:val="NoSpacing"/>
        <w:numPr>
          <w:ilvl w:val="1"/>
          <w:numId w:val="6"/>
        </w:numPr>
      </w:pPr>
      <w:r w:rsidRPr="00DE4653">
        <w:rPr>
          <w:b/>
        </w:rPr>
        <w:t xml:space="preserve">Exemption </w:t>
      </w:r>
      <w:r>
        <w:rPr>
          <w:b/>
        </w:rPr>
        <w:t>p</w:t>
      </w:r>
      <w:r w:rsidRPr="00DE4653">
        <w:rPr>
          <w:b/>
        </w:rPr>
        <w:t>eriod:</w:t>
      </w:r>
      <w:r>
        <w:t xml:space="preserve"> One year, re-apply annually 60 days or more prior to requirement deadline.</w:t>
      </w:r>
    </w:p>
    <w:p w14:paraId="2DFFD50C" w14:textId="77777777" w:rsidR="005A4851" w:rsidRDefault="005A4851" w:rsidP="00A5434E">
      <w:pPr>
        <w:pStyle w:val="NoSpacing"/>
        <w:numPr>
          <w:ilvl w:val="1"/>
          <w:numId w:val="6"/>
        </w:numPr>
      </w:pPr>
      <w:r w:rsidRPr="009E2FCD">
        <w:rPr>
          <w:b/>
        </w:rPr>
        <w:t>Required for submittal</w:t>
      </w:r>
      <w:r w:rsidRPr="008D788E">
        <w:t xml:space="preserve">: </w:t>
      </w:r>
    </w:p>
    <w:p w14:paraId="4A9CFC7C" w14:textId="77777777" w:rsidR="005A4851" w:rsidRDefault="005A4851" w:rsidP="00A5434E">
      <w:pPr>
        <w:pStyle w:val="NoSpacing"/>
        <w:numPr>
          <w:ilvl w:val="2"/>
          <w:numId w:val="6"/>
        </w:numPr>
      </w:pPr>
      <w:r>
        <w:t xml:space="preserve">A narrative describing the space and a description of what, if anything, consumes energy. </w:t>
      </w:r>
    </w:p>
    <w:p w14:paraId="038EF3B2" w14:textId="77777777" w:rsidR="005A4851" w:rsidRDefault="005A4851" w:rsidP="00A5434E">
      <w:pPr>
        <w:pStyle w:val="NoSpacing"/>
        <w:numPr>
          <w:ilvl w:val="2"/>
          <w:numId w:val="6"/>
        </w:numPr>
      </w:pPr>
      <w:r>
        <w:t>The city may request additional documentation during the review.</w:t>
      </w:r>
    </w:p>
    <w:p w14:paraId="1E27B48E" w14:textId="77777777" w:rsidR="005A4851" w:rsidRDefault="005A4851" w:rsidP="005A4851">
      <w:pPr>
        <w:pStyle w:val="NormalWeb"/>
        <w:spacing w:before="0" w:beforeAutospacing="0" w:after="0" w:afterAutospacing="0"/>
        <w:ind w:left="2520"/>
        <w:rPr>
          <w:rFonts w:asciiTheme="minorHAnsi" w:hAnsiTheme="minorHAnsi"/>
          <w:sz w:val="22"/>
          <w:szCs w:val="22"/>
        </w:rPr>
      </w:pPr>
    </w:p>
    <w:tbl>
      <w:tblPr>
        <w:tblStyle w:val="TableGrid"/>
        <w:tblW w:w="0" w:type="auto"/>
        <w:tblInd w:w="198" w:type="dxa"/>
        <w:tblLook w:val="04A0" w:firstRow="1" w:lastRow="0" w:firstColumn="1" w:lastColumn="0" w:noHBand="0" w:noVBand="1"/>
      </w:tblPr>
      <w:tblGrid>
        <w:gridCol w:w="9152"/>
      </w:tblGrid>
      <w:tr w:rsidR="005A4851" w14:paraId="288FB39A" w14:textId="77777777" w:rsidTr="00F3525B">
        <w:tc>
          <w:tcPr>
            <w:tcW w:w="9378" w:type="dxa"/>
            <w:shd w:val="clear" w:color="auto" w:fill="F2F2F2" w:themeFill="background1" w:themeFillShade="F2"/>
            <w:vAlign w:val="center"/>
          </w:tcPr>
          <w:p w14:paraId="74466A99" w14:textId="77777777" w:rsidR="005A4851" w:rsidRPr="00B35AE9" w:rsidRDefault="005A4851" w:rsidP="00F3525B">
            <w:pPr>
              <w:spacing w:after="160" w:line="259" w:lineRule="auto"/>
              <w:rPr>
                <w:i/>
                <w:szCs w:val="21"/>
              </w:rPr>
            </w:pPr>
            <w:r w:rsidRPr="00B35AE9">
              <w:rPr>
                <w:b/>
                <w:i/>
                <w:szCs w:val="21"/>
              </w:rPr>
              <w:t>Example:</w:t>
            </w:r>
            <w:r w:rsidRPr="00B35AE9">
              <w:rPr>
                <w:i/>
                <w:szCs w:val="21"/>
              </w:rPr>
              <w:t xml:space="preserve"> You have an </w:t>
            </w:r>
            <w:proofErr w:type="gramStart"/>
            <w:r w:rsidRPr="00B35AE9">
              <w:rPr>
                <w:i/>
                <w:szCs w:val="21"/>
              </w:rPr>
              <w:t>out building</w:t>
            </w:r>
            <w:proofErr w:type="gramEnd"/>
            <w:r w:rsidRPr="00B35AE9">
              <w:rPr>
                <w:i/>
                <w:szCs w:val="21"/>
              </w:rPr>
              <w:t xml:space="preserve"> that used to be a repair shop. You now use it for storage and do not light or heat the building. There are gas powered lawn mowers and snow blowers stored there. Do you qualify for an </w:t>
            </w:r>
            <w:proofErr w:type="gramStart"/>
            <w:r w:rsidRPr="00B35AE9">
              <w:rPr>
                <w:i/>
                <w:szCs w:val="21"/>
              </w:rPr>
              <w:t>all requirements</w:t>
            </w:r>
            <w:proofErr w:type="gramEnd"/>
            <w:r w:rsidRPr="00B35AE9">
              <w:rPr>
                <w:i/>
                <w:szCs w:val="21"/>
              </w:rPr>
              <w:t xml:space="preserve"> </w:t>
            </w:r>
            <w:proofErr w:type="gramStart"/>
            <w:r w:rsidRPr="00B35AE9">
              <w:rPr>
                <w:i/>
                <w:szCs w:val="21"/>
              </w:rPr>
              <w:t>exemption</w:t>
            </w:r>
            <w:proofErr w:type="gramEnd"/>
            <w:r w:rsidRPr="00B35AE9">
              <w:rPr>
                <w:i/>
                <w:szCs w:val="21"/>
              </w:rPr>
              <w:t xml:space="preserve"> for that space? </w:t>
            </w:r>
            <w:r w:rsidRPr="005A7CD3">
              <w:rPr>
                <w:b/>
                <w:i/>
                <w:szCs w:val="21"/>
              </w:rPr>
              <w:t>Answer</w:t>
            </w:r>
            <w:r>
              <w:rPr>
                <w:b/>
                <w:i/>
                <w:szCs w:val="21"/>
              </w:rPr>
              <w:t>:</w:t>
            </w:r>
            <w:r w:rsidRPr="00B35AE9">
              <w:rPr>
                <w:i/>
                <w:szCs w:val="21"/>
              </w:rPr>
              <w:t xml:space="preserve"> YES, especially if you can show the electrical and gas connections are shut off. </w:t>
            </w:r>
          </w:p>
          <w:p w14:paraId="4C746691" w14:textId="3631F8B8" w:rsidR="005A4851" w:rsidRDefault="005A4851" w:rsidP="00F3525B">
            <w:pPr>
              <w:rPr>
                <w:i/>
                <w:sz w:val="20"/>
              </w:rPr>
            </w:pPr>
            <w:r w:rsidRPr="00B35AE9">
              <w:rPr>
                <w:b/>
                <w:i/>
                <w:szCs w:val="21"/>
              </w:rPr>
              <w:t>Example:</w:t>
            </w:r>
            <w:r w:rsidRPr="00B35AE9">
              <w:rPr>
                <w:i/>
                <w:szCs w:val="21"/>
              </w:rPr>
              <w:t xml:space="preserve"> You have an airplane hangar that has lighting and a gas space </w:t>
            </w:r>
            <w:r w:rsidR="00936858" w:rsidRPr="00B35AE9">
              <w:rPr>
                <w:i/>
                <w:szCs w:val="21"/>
              </w:rPr>
              <w:t>heater but</w:t>
            </w:r>
            <w:r w:rsidRPr="00B35AE9">
              <w:rPr>
                <w:i/>
                <w:szCs w:val="21"/>
              </w:rPr>
              <w:t xml:space="preserve"> is only </w:t>
            </w:r>
            <w:proofErr w:type="gramStart"/>
            <w:r w:rsidRPr="00B35AE9">
              <w:rPr>
                <w:i/>
                <w:szCs w:val="21"/>
              </w:rPr>
              <w:t>used</w:t>
            </w:r>
            <w:proofErr w:type="gramEnd"/>
            <w:r w:rsidRPr="00B35AE9">
              <w:rPr>
                <w:i/>
                <w:szCs w:val="21"/>
              </w:rPr>
              <w:t xml:space="preserve"> a few hours per month. Do you qualify for </w:t>
            </w:r>
            <w:proofErr w:type="gramStart"/>
            <w:r w:rsidRPr="00B35AE9">
              <w:rPr>
                <w:i/>
                <w:szCs w:val="21"/>
              </w:rPr>
              <w:t>an</w:t>
            </w:r>
            <w:proofErr w:type="gramEnd"/>
            <w:r w:rsidRPr="00B35AE9">
              <w:rPr>
                <w:i/>
                <w:szCs w:val="21"/>
              </w:rPr>
              <w:t xml:space="preserve"> </w:t>
            </w:r>
            <w:proofErr w:type="gramStart"/>
            <w:r w:rsidRPr="00B35AE9">
              <w:rPr>
                <w:i/>
                <w:szCs w:val="21"/>
              </w:rPr>
              <w:t>all requirements</w:t>
            </w:r>
            <w:proofErr w:type="gramEnd"/>
            <w:r w:rsidRPr="00B35AE9">
              <w:rPr>
                <w:i/>
                <w:szCs w:val="21"/>
              </w:rPr>
              <w:t xml:space="preserve"> exemption for this space? </w:t>
            </w:r>
            <w:r w:rsidRPr="005A7CD3">
              <w:rPr>
                <w:b/>
                <w:i/>
                <w:szCs w:val="21"/>
              </w:rPr>
              <w:t>Answer</w:t>
            </w:r>
            <w:r>
              <w:rPr>
                <w:b/>
                <w:i/>
                <w:szCs w:val="21"/>
              </w:rPr>
              <w:t>:</w:t>
            </w:r>
            <w:r w:rsidRPr="00B35AE9">
              <w:rPr>
                <w:i/>
                <w:szCs w:val="21"/>
              </w:rPr>
              <w:t xml:space="preserve"> NO, </w:t>
            </w:r>
            <w:proofErr w:type="gramStart"/>
            <w:r w:rsidRPr="00B35AE9">
              <w:rPr>
                <w:i/>
                <w:szCs w:val="21"/>
              </w:rPr>
              <w:t>as long as</w:t>
            </w:r>
            <w:proofErr w:type="gramEnd"/>
            <w:r w:rsidRPr="00B35AE9">
              <w:rPr>
                <w:i/>
                <w:szCs w:val="21"/>
              </w:rPr>
              <w:t xml:space="preserve"> the space is still occupied, and being </w:t>
            </w:r>
            <w:proofErr w:type="gramStart"/>
            <w:r w:rsidRPr="00B35AE9">
              <w:rPr>
                <w:i/>
                <w:szCs w:val="21"/>
              </w:rPr>
              <w:t>lighted</w:t>
            </w:r>
            <w:proofErr w:type="gramEnd"/>
            <w:r w:rsidRPr="00B35AE9">
              <w:rPr>
                <w:i/>
                <w:szCs w:val="21"/>
              </w:rPr>
              <w:t xml:space="preserve"> or heated, the building is subject to the ordinance requirements.</w:t>
            </w:r>
            <w:r w:rsidRPr="00B35AE9">
              <w:rPr>
                <w:i/>
              </w:rPr>
              <w:t xml:space="preserve"> </w:t>
            </w:r>
          </w:p>
        </w:tc>
      </w:tr>
    </w:tbl>
    <w:p w14:paraId="2BE9D624" w14:textId="77777777" w:rsidR="005A4851" w:rsidRDefault="005A4851" w:rsidP="005A4851">
      <w:pPr>
        <w:pStyle w:val="NormalWeb"/>
        <w:spacing w:before="0" w:beforeAutospacing="0" w:after="0" w:afterAutospacing="0"/>
        <w:rPr>
          <w:rFonts w:asciiTheme="minorHAnsi" w:hAnsiTheme="minorHAnsi"/>
          <w:sz w:val="22"/>
          <w:szCs w:val="22"/>
        </w:rPr>
      </w:pPr>
    </w:p>
    <w:p w14:paraId="44C8E996" w14:textId="77777777" w:rsidR="005A4851" w:rsidRPr="00DE4653" w:rsidRDefault="005A4851" w:rsidP="00A5434E">
      <w:pPr>
        <w:pStyle w:val="NoSpacing"/>
        <w:numPr>
          <w:ilvl w:val="0"/>
          <w:numId w:val="6"/>
        </w:numPr>
        <w:rPr>
          <w:b/>
        </w:rPr>
      </w:pPr>
      <w:r w:rsidRPr="00DE4653">
        <w:rPr>
          <w:b/>
        </w:rPr>
        <w:t xml:space="preserve">The building is under financial hardship. </w:t>
      </w:r>
    </w:p>
    <w:p w14:paraId="6AB5F668" w14:textId="77777777" w:rsidR="005A4851" w:rsidRPr="00E51D9B" w:rsidRDefault="005A4851" w:rsidP="00A5434E">
      <w:pPr>
        <w:pStyle w:val="NoSpacing"/>
        <w:numPr>
          <w:ilvl w:val="1"/>
          <w:numId w:val="6"/>
        </w:numPr>
      </w:pPr>
      <w:r w:rsidRPr="00DE4653">
        <w:rPr>
          <w:b/>
        </w:rPr>
        <w:t xml:space="preserve">Exemption </w:t>
      </w:r>
      <w:r>
        <w:rPr>
          <w:b/>
        </w:rPr>
        <w:t>p</w:t>
      </w:r>
      <w:r w:rsidRPr="00DE4653">
        <w:rPr>
          <w:b/>
        </w:rPr>
        <w:t>eriod</w:t>
      </w:r>
      <w:r>
        <w:t>: One year, re-apply annually 60 days or more prior to requirement deadline.</w:t>
      </w:r>
    </w:p>
    <w:p w14:paraId="61BAE898" w14:textId="77777777" w:rsidR="005A4851" w:rsidRPr="00E51D9B" w:rsidRDefault="005A4851" w:rsidP="00A5434E">
      <w:pPr>
        <w:pStyle w:val="NoSpacing"/>
        <w:numPr>
          <w:ilvl w:val="1"/>
          <w:numId w:val="6"/>
        </w:numPr>
      </w:pPr>
      <w:r w:rsidRPr="009E2FCD">
        <w:rPr>
          <w:b/>
        </w:rPr>
        <w:t>Required for submittal</w:t>
      </w:r>
      <w:r w:rsidRPr="008D788E">
        <w:t>:</w:t>
      </w:r>
    </w:p>
    <w:p w14:paraId="5A79EFE0" w14:textId="77777777" w:rsidR="005A4851" w:rsidRDefault="005A4851" w:rsidP="00A5434E">
      <w:pPr>
        <w:pStyle w:val="NoSpacing"/>
        <w:numPr>
          <w:ilvl w:val="2"/>
          <w:numId w:val="6"/>
        </w:numPr>
      </w:pPr>
      <w:r>
        <w:t>Proof the building is the subject of a qualified tax lien sale or public auction due to property tax arrangements; or,</w:t>
      </w:r>
    </w:p>
    <w:p w14:paraId="12F44A5B" w14:textId="77777777" w:rsidR="005A4851" w:rsidRDefault="005A4851" w:rsidP="00A5434E">
      <w:pPr>
        <w:pStyle w:val="NoSpacing"/>
        <w:numPr>
          <w:ilvl w:val="2"/>
          <w:numId w:val="6"/>
        </w:numPr>
      </w:pPr>
      <w:r>
        <w:t>Proof the building is controlled by a court appointed receiver; or,</w:t>
      </w:r>
    </w:p>
    <w:p w14:paraId="40D540B4" w14:textId="77777777" w:rsidR="005A4851" w:rsidRDefault="005A4851" w:rsidP="00A5434E">
      <w:pPr>
        <w:pStyle w:val="NoSpacing"/>
        <w:numPr>
          <w:ilvl w:val="2"/>
          <w:numId w:val="6"/>
        </w:numPr>
      </w:pPr>
      <w:proofErr w:type="gramStart"/>
      <w:r>
        <w:t>Proof</w:t>
      </w:r>
      <w:proofErr w:type="gramEnd"/>
      <w:r>
        <w:t xml:space="preserve"> the building has been acquired by deed in lieu of foreclosure.</w:t>
      </w:r>
    </w:p>
    <w:p w14:paraId="50200358" w14:textId="77777777" w:rsidR="005A4851" w:rsidRDefault="005A4851" w:rsidP="005A4851">
      <w:pPr>
        <w:pStyle w:val="NormalWeb"/>
        <w:spacing w:before="0" w:beforeAutospacing="0" w:after="0" w:afterAutospacing="0"/>
        <w:ind w:left="2520"/>
        <w:rPr>
          <w:rFonts w:asciiTheme="minorHAnsi" w:hAnsiTheme="minorHAnsi"/>
          <w:b/>
          <w:sz w:val="22"/>
          <w:szCs w:val="22"/>
        </w:rPr>
      </w:pPr>
    </w:p>
    <w:tbl>
      <w:tblPr>
        <w:tblStyle w:val="TableGrid"/>
        <w:tblW w:w="0" w:type="auto"/>
        <w:tblInd w:w="198" w:type="dxa"/>
        <w:tblLook w:val="04A0" w:firstRow="1" w:lastRow="0" w:firstColumn="1" w:lastColumn="0" w:noHBand="0" w:noVBand="1"/>
      </w:tblPr>
      <w:tblGrid>
        <w:gridCol w:w="9152"/>
      </w:tblGrid>
      <w:tr w:rsidR="005A4851" w14:paraId="584248D7" w14:textId="77777777" w:rsidTr="00F3525B">
        <w:tc>
          <w:tcPr>
            <w:tcW w:w="9378" w:type="dxa"/>
            <w:shd w:val="clear" w:color="auto" w:fill="F2F2F2" w:themeFill="background1" w:themeFillShade="F2"/>
          </w:tcPr>
          <w:p w14:paraId="772D2B85" w14:textId="77777777" w:rsidR="005A4851" w:rsidRPr="00B35AE9" w:rsidRDefault="005A4851" w:rsidP="00F3525B">
            <w:pPr>
              <w:spacing w:after="160" w:line="259" w:lineRule="auto"/>
              <w:rPr>
                <w:i/>
                <w:szCs w:val="21"/>
              </w:rPr>
            </w:pPr>
            <w:r w:rsidRPr="00B35AE9">
              <w:rPr>
                <w:b/>
                <w:i/>
                <w:szCs w:val="21"/>
              </w:rPr>
              <w:t>Example:</w:t>
            </w:r>
            <w:r w:rsidRPr="00B35AE9">
              <w:rPr>
                <w:i/>
                <w:szCs w:val="21"/>
              </w:rPr>
              <w:t xml:space="preserve"> Your building is currently under a tax </w:t>
            </w:r>
            <w:proofErr w:type="gramStart"/>
            <w:r w:rsidRPr="00B35AE9">
              <w:rPr>
                <w:i/>
                <w:szCs w:val="21"/>
              </w:rPr>
              <w:t>lien</w:t>
            </w:r>
            <w:proofErr w:type="gramEnd"/>
            <w:r w:rsidRPr="00B35AE9">
              <w:rPr>
                <w:i/>
                <w:szCs w:val="21"/>
              </w:rPr>
              <w:t xml:space="preserve"> by the County for unpaid tax. Do you qualify for a fi</w:t>
            </w:r>
            <w:r>
              <w:rPr>
                <w:i/>
                <w:szCs w:val="21"/>
              </w:rPr>
              <w:t xml:space="preserve">nancial hardship exemption? </w:t>
            </w:r>
            <w:r w:rsidRPr="005A7CD3">
              <w:rPr>
                <w:b/>
                <w:i/>
                <w:szCs w:val="21"/>
              </w:rPr>
              <w:t>Answer</w:t>
            </w:r>
            <w:r>
              <w:rPr>
                <w:b/>
                <w:i/>
                <w:szCs w:val="21"/>
              </w:rPr>
              <w:t xml:space="preserve">: </w:t>
            </w:r>
            <w:proofErr w:type="gramStart"/>
            <w:r w:rsidRPr="00B35AE9">
              <w:rPr>
                <w:i/>
                <w:szCs w:val="21"/>
              </w:rPr>
              <w:t>YES</w:t>
            </w:r>
            <w:proofErr w:type="gramEnd"/>
            <w:r w:rsidRPr="00B35AE9">
              <w:rPr>
                <w:i/>
                <w:szCs w:val="21"/>
              </w:rPr>
              <w:t xml:space="preserve"> </w:t>
            </w:r>
            <w:proofErr w:type="gramStart"/>
            <w:r w:rsidRPr="00B35AE9">
              <w:rPr>
                <w:i/>
                <w:szCs w:val="21"/>
              </w:rPr>
              <w:t>as long as</w:t>
            </w:r>
            <w:proofErr w:type="gramEnd"/>
            <w:r w:rsidRPr="00B35AE9">
              <w:rPr>
                <w:i/>
                <w:szCs w:val="21"/>
              </w:rPr>
              <w:t xml:space="preserve"> you can provide proof of your financial hardship as outlined above. </w:t>
            </w:r>
          </w:p>
          <w:p w14:paraId="1AEB8461" w14:textId="77777777" w:rsidR="005A4851" w:rsidRDefault="005A4851" w:rsidP="00F3525B">
            <w:pPr>
              <w:rPr>
                <w:i/>
                <w:sz w:val="20"/>
              </w:rPr>
            </w:pPr>
            <w:r w:rsidRPr="00B35AE9">
              <w:rPr>
                <w:b/>
                <w:i/>
                <w:szCs w:val="21"/>
              </w:rPr>
              <w:t>Example:</w:t>
            </w:r>
            <w:r w:rsidRPr="00B35AE9">
              <w:rPr>
                <w:i/>
                <w:szCs w:val="21"/>
              </w:rPr>
              <w:t xml:space="preserve"> You have not been able to lease your building due to a poor commercial market for an extended period and have fallen behind on your building’s mortgage payments but still have six months before the building goes into foreclosure. You have an energy ordinance deadline for this space due in one year. Do you qualify for a financial hardsh</w:t>
            </w:r>
            <w:r>
              <w:rPr>
                <w:i/>
                <w:szCs w:val="21"/>
              </w:rPr>
              <w:t xml:space="preserve">ip exemption for this space? </w:t>
            </w:r>
            <w:r w:rsidRPr="005A7CD3">
              <w:rPr>
                <w:b/>
                <w:i/>
                <w:szCs w:val="21"/>
              </w:rPr>
              <w:t>Answer</w:t>
            </w:r>
            <w:r>
              <w:rPr>
                <w:b/>
                <w:i/>
                <w:szCs w:val="21"/>
              </w:rPr>
              <w:t xml:space="preserve">: </w:t>
            </w:r>
            <w:r w:rsidRPr="00B35AE9">
              <w:rPr>
                <w:i/>
                <w:szCs w:val="21"/>
              </w:rPr>
              <w:t xml:space="preserve">NO, </w:t>
            </w:r>
            <w:proofErr w:type="gramStart"/>
            <w:r w:rsidRPr="00B35AE9">
              <w:rPr>
                <w:i/>
                <w:szCs w:val="21"/>
              </w:rPr>
              <w:t>as long as</w:t>
            </w:r>
            <w:proofErr w:type="gramEnd"/>
            <w:r w:rsidRPr="00B35AE9">
              <w:rPr>
                <w:i/>
                <w:szCs w:val="21"/>
              </w:rPr>
              <w:t xml:space="preserve"> the space is still not in foreclosure and you have time to resolve. However, you can plan to apply for an exemption within 60 days of your foreclosure date if not resolved or extended.</w:t>
            </w:r>
            <w:r w:rsidRPr="00B35AE9">
              <w:rPr>
                <w:i/>
              </w:rPr>
              <w:t xml:space="preserve"> </w:t>
            </w:r>
          </w:p>
        </w:tc>
      </w:tr>
    </w:tbl>
    <w:p w14:paraId="01F14483" w14:textId="77777777" w:rsidR="005A4851" w:rsidRPr="00936858" w:rsidRDefault="005A4851" w:rsidP="00936858">
      <w:pPr>
        <w:pStyle w:val="Heading1"/>
        <w:numPr>
          <w:ilvl w:val="0"/>
          <w:numId w:val="0"/>
        </w:numPr>
        <w:rPr>
          <w:b/>
          <w:sz w:val="28"/>
        </w:rPr>
      </w:pPr>
      <w:bookmarkStart w:id="23" w:name="_Toc445906781"/>
      <w:bookmarkStart w:id="24" w:name="_Toc445906939"/>
      <w:bookmarkStart w:id="25" w:name="_Toc445907095"/>
      <w:bookmarkStart w:id="26" w:name="_Toc445907251"/>
      <w:bookmarkStart w:id="27" w:name="_Toc445907409"/>
      <w:bookmarkStart w:id="28" w:name="_Toc445907565"/>
      <w:bookmarkStart w:id="29" w:name="_Toc445907721"/>
      <w:bookmarkStart w:id="30" w:name="_Toc445907877"/>
      <w:bookmarkStart w:id="31" w:name="_Toc445908033"/>
      <w:bookmarkStart w:id="32" w:name="_Toc445906782"/>
      <w:bookmarkStart w:id="33" w:name="_Toc445906940"/>
      <w:bookmarkStart w:id="34" w:name="_Toc445907096"/>
      <w:bookmarkStart w:id="35" w:name="_Toc445907252"/>
      <w:bookmarkStart w:id="36" w:name="_Toc445907410"/>
      <w:bookmarkStart w:id="37" w:name="_Toc445907566"/>
      <w:bookmarkStart w:id="38" w:name="_Toc445907722"/>
      <w:bookmarkStart w:id="39" w:name="_Toc445907878"/>
      <w:bookmarkStart w:id="40" w:name="_Toc445908034"/>
      <w:bookmarkStart w:id="41" w:name="_Toc445906783"/>
      <w:bookmarkStart w:id="42" w:name="_Toc445906941"/>
      <w:bookmarkStart w:id="43" w:name="_Toc445907097"/>
      <w:bookmarkStart w:id="44" w:name="_Toc445907253"/>
      <w:bookmarkStart w:id="45" w:name="_Toc445907411"/>
      <w:bookmarkStart w:id="46" w:name="_Toc445907567"/>
      <w:bookmarkStart w:id="47" w:name="_Toc445907723"/>
      <w:bookmarkStart w:id="48" w:name="_Toc445907879"/>
      <w:bookmarkStart w:id="49" w:name="_Toc445908035"/>
      <w:bookmarkStart w:id="50" w:name="_Toc445906784"/>
      <w:bookmarkStart w:id="51" w:name="_Toc445906942"/>
      <w:bookmarkStart w:id="52" w:name="_Toc445907098"/>
      <w:bookmarkStart w:id="53" w:name="_Toc445907254"/>
      <w:bookmarkStart w:id="54" w:name="_Toc445907412"/>
      <w:bookmarkStart w:id="55" w:name="_Toc445907568"/>
      <w:bookmarkStart w:id="56" w:name="_Toc445907724"/>
      <w:bookmarkStart w:id="57" w:name="_Toc445907880"/>
      <w:bookmarkStart w:id="58" w:name="_Toc445908036"/>
      <w:bookmarkStart w:id="59" w:name="_Toc445906785"/>
      <w:bookmarkStart w:id="60" w:name="_Toc445906943"/>
      <w:bookmarkStart w:id="61" w:name="_Toc445907099"/>
      <w:bookmarkStart w:id="62" w:name="_Toc445907255"/>
      <w:bookmarkStart w:id="63" w:name="_Toc445907413"/>
      <w:bookmarkStart w:id="64" w:name="_Toc445907569"/>
      <w:bookmarkStart w:id="65" w:name="_Toc445907725"/>
      <w:bookmarkStart w:id="66" w:name="_Toc445907881"/>
      <w:bookmarkStart w:id="67" w:name="_Toc445908037"/>
      <w:bookmarkStart w:id="68" w:name="_Toc445906786"/>
      <w:bookmarkStart w:id="69" w:name="_Toc445906944"/>
      <w:bookmarkStart w:id="70" w:name="_Toc445907100"/>
      <w:bookmarkStart w:id="71" w:name="_Toc445907256"/>
      <w:bookmarkStart w:id="72" w:name="_Toc445907414"/>
      <w:bookmarkStart w:id="73" w:name="_Toc445907570"/>
      <w:bookmarkStart w:id="74" w:name="_Toc445907726"/>
      <w:bookmarkStart w:id="75" w:name="_Toc445907882"/>
      <w:bookmarkStart w:id="76" w:name="_Toc445908038"/>
      <w:bookmarkStart w:id="77" w:name="_Toc445906787"/>
      <w:bookmarkStart w:id="78" w:name="_Toc445906945"/>
      <w:bookmarkStart w:id="79" w:name="_Toc445907101"/>
      <w:bookmarkStart w:id="80" w:name="_Toc445907257"/>
      <w:bookmarkStart w:id="81" w:name="_Toc445907415"/>
      <w:bookmarkStart w:id="82" w:name="_Toc445907571"/>
      <w:bookmarkStart w:id="83" w:name="_Toc445907727"/>
      <w:bookmarkStart w:id="84" w:name="_Toc445907883"/>
      <w:bookmarkStart w:id="85" w:name="_Toc445908039"/>
      <w:bookmarkStart w:id="86" w:name="_Toc485220668"/>
      <w:bookmarkStart w:id="87" w:name="_Toc530475250"/>
      <w:bookmarkStart w:id="88" w:name="_Toc44184308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936858">
        <w:rPr>
          <w:b/>
          <w:sz w:val="28"/>
        </w:rPr>
        <w:t>Exemptions from Rating and Reporting Only</w:t>
      </w:r>
      <w:bookmarkEnd w:id="86"/>
      <w:bookmarkEnd w:id="87"/>
    </w:p>
    <w:p w14:paraId="1FDE185A" w14:textId="77777777" w:rsidR="005A4851" w:rsidRDefault="005A4851" w:rsidP="005A4851">
      <w:r>
        <w:t xml:space="preserve">Affected building owners may be exempt from rating and reporting for one reporting year if: </w:t>
      </w:r>
    </w:p>
    <w:p w14:paraId="26590878" w14:textId="01D0AC92" w:rsidR="005A4851" w:rsidRPr="00DE4653" w:rsidRDefault="005A4851" w:rsidP="00A5434E">
      <w:pPr>
        <w:pStyle w:val="NoSpacing"/>
        <w:numPr>
          <w:ilvl w:val="0"/>
          <w:numId w:val="5"/>
        </w:numPr>
        <w:rPr>
          <w:b/>
        </w:rPr>
      </w:pPr>
      <w:r w:rsidRPr="00DE4653">
        <w:rPr>
          <w:b/>
        </w:rPr>
        <w:t>The building has less than 12 months of energy data</w:t>
      </w:r>
      <w:r w:rsidR="001A5A2A">
        <w:rPr>
          <w:b/>
        </w:rPr>
        <w:t xml:space="preserve"> in the reporting calendar year (Jan-Dec)</w:t>
      </w:r>
      <w:r w:rsidRPr="00DE4653">
        <w:rPr>
          <w:b/>
        </w:rPr>
        <w:t>.</w:t>
      </w:r>
    </w:p>
    <w:p w14:paraId="40A6B0EC" w14:textId="77777777" w:rsidR="005A4851" w:rsidRDefault="005A4851" w:rsidP="00A5434E">
      <w:pPr>
        <w:pStyle w:val="NoSpacing"/>
        <w:numPr>
          <w:ilvl w:val="1"/>
          <w:numId w:val="5"/>
        </w:numPr>
      </w:pPr>
      <w:r w:rsidRPr="00DE4653">
        <w:rPr>
          <w:b/>
        </w:rPr>
        <w:t xml:space="preserve">Exemption </w:t>
      </w:r>
      <w:r>
        <w:rPr>
          <w:b/>
        </w:rPr>
        <w:t>p</w:t>
      </w:r>
      <w:r w:rsidRPr="00DE4653">
        <w:rPr>
          <w:b/>
        </w:rPr>
        <w:t>eriod</w:t>
      </w:r>
      <w:r>
        <w:t>: One year, re-apply annually 60 days or more prior to requirement deadline.</w:t>
      </w:r>
    </w:p>
    <w:p w14:paraId="55DE1298" w14:textId="77777777" w:rsidR="005A4851" w:rsidRDefault="005A4851" w:rsidP="00A5434E">
      <w:pPr>
        <w:pStyle w:val="NoSpacing"/>
        <w:numPr>
          <w:ilvl w:val="1"/>
          <w:numId w:val="5"/>
        </w:numPr>
      </w:pPr>
      <w:r w:rsidRPr="009E2FCD">
        <w:rPr>
          <w:b/>
        </w:rPr>
        <w:t>Required for submittal</w:t>
      </w:r>
      <w:r w:rsidRPr="008D788E">
        <w:t xml:space="preserve">: </w:t>
      </w:r>
    </w:p>
    <w:p w14:paraId="437C2849" w14:textId="77777777" w:rsidR="005A4851" w:rsidRDefault="005A4851" w:rsidP="00A5434E">
      <w:pPr>
        <w:pStyle w:val="NoSpacing"/>
        <w:numPr>
          <w:ilvl w:val="2"/>
          <w:numId w:val="5"/>
        </w:numPr>
      </w:pPr>
      <w:r>
        <w:t>Certificate of occupancy.</w:t>
      </w:r>
    </w:p>
    <w:p w14:paraId="0D2254E9" w14:textId="77777777" w:rsidR="005A4851" w:rsidRDefault="005A4851" w:rsidP="005A4851">
      <w:pPr>
        <w:pStyle w:val="NoSpacing"/>
      </w:pPr>
    </w:p>
    <w:tbl>
      <w:tblPr>
        <w:tblStyle w:val="TableGrid"/>
        <w:tblW w:w="0" w:type="auto"/>
        <w:tblInd w:w="198" w:type="dxa"/>
        <w:tblLook w:val="04A0" w:firstRow="1" w:lastRow="0" w:firstColumn="1" w:lastColumn="0" w:noHBand="0" w:noVBand="1"/>
      </w:tblPr>
      <w:tblGrid>
        <w:gridCol w:w="9152"/>
      </w:tblGrid>
      <w:tr w:rsidR="005A4851" w14:paraId="235C0A3A" w14:textId="77777777" w:rsidTr="00EF54FC">
        <w:trPr>
          <w:cantSplit/>
        </w:trPr>
        <w:tc>
          <w:tcPr>
            <w:tcW w:w="9378" w:type="dxa"/>
            <w:shd w:val="clear" w:color="auto" w:fill="F2F2F2" w:themeFill="background1" w:themeFillShade="F2"/>
          </w:tcPr>
          <w:p w14:paraId="792020B2" w14:textId="77777777" w:rsidR="005A4851" w:rsidRPr="00B35AE9" w:rsidRDefault="005A4851" w:rsidP="00F3525B">
            <w:pPr>
              <w:rPr>
                <w:i/>
              </w:rPr>
            </w:pPr>
            <w:r w:rsidRPr="00B35AE9">
              <w:rPr>
                <w:b/>
                <w:i/>
              </w:rPr>
              <w:t>Example:</w:t>
            </w:r>
            <w:r w:rsidRPr="00B35AE9">
              <w:rPr>
                <w:i/>
              </w:rPr>
              <w:t xml:space="preserve"> Your building was built during the reporting year</w:t>
            </w:r>
            <w:r>
              <w:rPr>
                <w:i/>
              </w:rPr>
              <w:t xml:space="preserve"> (in this case, 2015)</w:t>
            </w:r>
            <w:r w:rsidRPr="00B35AE9">
              <w:rPr>
                <w:i/>
              </w:rPr>
              <w:t xml:space="preserve"> and your certificate of occupancy shows an occupancy data </w:t>
            </w:r>
            <w:proofErr w:type="gramStart"/>
            <w:r w:rsidRPr="00B35AE9">
              <w:rPr>
                <w:i/>
              </w:rPr>
              <w:t>of</w:t>
            </w:r>
            <w:proofErr w:type="gramEnd"/>
            <w:r w:rsidRPr="00B35AE9">
              <w:rPr>
                <w:i/>
              </w:rPr>
              <w:t xml:space="preserve"> June 2015. This means you only have energy consumption for the building June-Dec 2016. Do you qualify for an exemption? </w:t>
            </w:r>
            <w:r w:rsidRPr="005A7CD3">
              <w:rPr>
                <w:b/>
                <w:i/>
                <w:szCs w:val="21"/>
              </w:rPr>
              <w:t>Answer</w:t>
            </w:r>
            <w:r>
              <w:rPr>
                <w:b/>
                <w:i/>
                <w:szCs w:val="21"/>
              </w:rPr>
              <w:t>:</w:t>
            </w:r>
            <w:r w:rsidRPr="00B35AE9">
              <w:rPr>
                <w:i/>
              </w:rPr>
              <w:t xml:space="preserve"> </w:t>
            </w:r>
            <w:proofErr w:type="gramStart"/>
            <w:r w:rsidRPr="00B35AE9">
              <w:rPr>
                <w:i/>
              </w:rPr>
              <w:t>YES</w:t>
            </w:r>
            <w:proofErr w:type="gramEnd"/>
            <w:r w:rsidRPr="00B35AE9">
              <w:rPr>
                <w:i/>
              </w:rPr>
              <w:t xml:space="preserve"> </w:t>
            </w:r>
            <w:proofErr w:type="gramStart"/>
            <w:r w:rsidRPr="00B35AE9">
              <w:rPr>
                <w:i/>
              </w:rPr>
              <w:t>as long as</w:t>
            </w:r>
            <w:proofErr w:type="gramEnd"/>
            <w:r w:rsidRPr="00B35AE9">
              <w:rPr>
                <w:i/>
              </w:rPr>
              <w:t xml:space="preserve"> you provide a copy of the certificate of occupancy. </w:t>
            </w:r>
          </w:p>
          <w:p w14:paraId="60933364" w14:textId="77777777" w:rsidR="005A4851" w:rsidRPr="00B35AE9" w:rsidRDefault="005A4851" w:rsidP="00F3525B">
            <w:pPr>
              <w:rPr>
                <w:i/>
              </w:rPr>
            </w:pPr>
          </w:p>
          <w:p w14:paraId="0A275E5F" w14:textId="754AD13B" w:rsidR="005A4851" w:rsidRDefault="005A4851" w:rsidP="00F3525B">
            <w:pPr>
              <w:rPr>
                <w:i/>
                <w:sz w:val="21"/>
                <w:szCs w:val="21"/>
              </w:rPr>
            </w:pPr>
            <w:r w:rsidRPr="00B35AE9">
              <w:rPr>
                <w:b/>
                <w:i/>
              </w:rPr>
              <w:t>Example</w:t>
            </w:r>
            <w:r w:rsidRPr="00B35AE9">
              <w:rPr>
                <w:i/>
              </w:rPr>
              <w:t xml:space="preserve">: You purchased the building in March </w:t>
            </w:r>
            <w:proofErr w:type="gramStart"/>
            <w:r w:rsidRPr="00B35AE9">
              <w:rPr>
                <w:i/>
              </w:rPr>
              <w:t>2016</w:t>
            </w:r>
            <w:proofErr w:type="gramEnd"/>
            <w:r w:rsidRPr="00B35AE9">
              <w:rPr>
                <w:i/>
              </w:rPr>
              <w:t xml:space="preserve"> and you did not pay the energy consumptions bills for the building in </w:t>
            </w:r>
            <w:proofErr w:type="gramStart"/>
            <w:r w:rsidRPr="00B35AE9">
              <w:rPr>
                <w:i/>
              </w:rPr>
              <w:t>2015</w:t>
            </w:r>
            <w:proofErr w:type="gramEnd"/>
            <w:r w:rsidRPr="00B35AE9">
              <w:rPr>
                <w:i/>
              </w:rPr>
              <w:t xml:space="preserve"> so you do not know the energy consumption for the reporting year. Do you qualify for an exemption? </w:t>
            </w:r>
            <w:r w:rsidRPr="005A7CD3">
              <w:rPr>
                <w:b/>
                <w:i/>
                <w:szCs w:val="21"/>
              </w:rPr>
              <w:t>Answer</w:t>
            </w:r>
            <w:r>
              <w:rPr>
                <w:b/>
                <w:i/>
                <w:szCs w:val="21"/>
              </w:rPr>
              <w:t>:</w:t>
            </w:r>
            <w:r w:rsidRPr="00B35AE9">
              <w:rPr>
                <w:i/>
              </w:rPr>
              <w:t xml:space="preserve"> NO. </w:t>
            </w:r>
            <w:proofErr w:type="gramStart"/>
            <w:r w:rsidRPr="00B35AE9">
              <w:rPr>
                <w:i/>
              </w:rPr>
              <w:t>As long as</w:t>
            </w:r>
            <w:proofErr w:type="gramEnd"/>
            <w:r w:rsidRPr="00B35AE9">
              <w:rPr>
                <w:i/>
              </w:rPr>
              <w:t xml:space="preserve"> the building was occupied, heated, and lit during the entire calendar year, the building is still subject to the ordinance requirements. As the owner you must collect the whole-building energy consumption for the reporting year by either using </w:t>
            </w:r>
            <w:hyperlink r:id="rId13" w:history="1">
              <w:r w:rsidRPr="00B35AE9">
                <w:rPr>
                  <w:rStyle w:val="Hyperlink"/>
                  <w:i/>
                </w:rPr>
                <w:t>Xcel Energy’s automatic upload service</w:t>
              </w:r>
            </w:hyperlink>
            <w:r w:rsidRPr="00B35AE9">
              <w:rPr>
                <w:i/>
              </w:rPr>
              <w:t>, or by working with the previous owner or tenants to collect the usage.</w:t>
            </w:r>
            <w:r>
              <w:rPr>
                <w:i/>
                <w:sz w:val="21"/>
                <w:szCs w:val="21"/>
              </w:rPr>
              <w:t xml:space="preserve"> </w:t>
            </w:r>
          </w:p>
        </w:tc>
      </w:tr>
    </w:tbl>
    <w:p w14:paraId="314A4506" w14:textId="714275EF" w:rsidR="005A4851" w:rsidRDefault="005A4851" w:rsidP="00936858">
      <w:pPr>
        <w:pStyle w:val="Heading1"/>
        <w:numPr>
          <w:ilvl w:val="0"/>
          <w:numId w:val="0"/>
        </w:numPr>
        <w:rPr>
          <w:b/>
        </w:rPr>
      </w:pPr>
      <w:bookmarkStart w:id="89" w:name="_Toc485220670"/>
      <w:bookmarkStart w:id="90" w:name="_Toc445462115"/>
      <w:bookmarkStart w:id="91" w:name="_Toc445462989"/>
      <w:bookmarkStart w:id="92" w:name="_Toc530475251"/>
      <w:r w:rsidRPr="00936858">
        <w:rPr>
          <w:b/>
          <w:sz w:val="28"/>
        </w:rPr>
        <w:t>Exemptions from All Efficiency Requirements</w:t>
      </w:r>
      <w:bookmarkEnd w:id="89"/>
      <w:r w:rsidRPr="00936858">
        <w:rPr>
          <w:b/>
          <w:sz w:val="28"/>
        </w:rPr>
        <w:t xml:space="preserve"> </w:t>
      </w:r>
      <w:bookmarkEnd w:id="90"/>
      <w:bookmarkEnd w:id="91"/>
      <w:r w:rsidR="00936858">
        <w:rPr>
          <w:b/>
          <w:sz w:val="28"/>
        </w:rPr>
        <w:t>(Energy Assessment, RCx, Lighting)</w:t>
      </w:r>
      <w:bookmarkEnd w:id="92"/>
    </w:p>
    <w:p w14:paraId="0946B6BA" w14:textId="39B76B58" w:rsidR="005A4851" w:rsidRPr="00DE4653" w:rsidRDefault="005A4851" w:rsidP="005A4851">
      <w:r w:rsidRPr="00654050">
        <w:t>High performing, energy-efficient buildings will still be required to</w:t>
      </w:r>
      <w:r w:rsidR="00936858">
        <w:t xml:space="preserve"> annually</w:t>
      </w:r>
      <w:r w:rsidRPr="00654050">
        <w:t xml:space="preserve"> rate and report, but </w:t>
      </w:r>
      <w:r>
        <w:t>may</w:t>
      </w:r>
      <w:r w:rsidRPr="00654050">
        <w:t xml:space="preserve"> be exempt from the other efficiency requirements</w:t>
      </w:r>
      <w:r>
        <w:t xml:space="preserve">, including energy assessments, </w:t>
      </w:r>
      <w:proofErr w:type="spellStart"/>
      <w:r>
        <w:t>retrocommissioning</w:t>
      </w:r>
      <w:proofErr w:type="spellEnd"/>
      <w:r>
        <w:t>, and lighting upgrades</w:t>
      </w:r>
      <w:r w:rsidRPr="00654050">
        <w:t xml:space="preserve">. Buildings will be considered for the efficiency exemption if they meet any of the following criteria: </w:t>
      </w:r>
    </w:p>
    <w:p w14:paraId="78DCA2E2" w14:textId="1ADD508C" w:rsidR="005A4851" w:rsidRPr="00DE4653" w:rsidRDefault="005A4851" w:rsidP="00A5434E">
      <w:pPr>
        <w:pStyle w:val="ListParagraph"/>
        <w:numPr>
          <w:ilvl w:val="0"/>
          <w:numId w:val="2"/>
        </w:numPr>
        <w:rPr>
          <w:b/>
        </w:rPr>
      </w:pPr>
      <w:r w:rsidRPr="00DE4653">
        <w:rPr>
          <w:b/>
        </w:rPr>
        <w:t xml:space="preserve">Current </w:t>
      </w:r>
      <w:hyperlink r:id="rId14" w:history="1">
        <w:r w:rsidRPr="00DE4653">
          <w:rPr>
            <w:rStyle w:val="Hyperlink"/>
            <w:b/>
          </w:rPr>
          <w:t>ENERGY STAR certification</w:t>
        </w:r>
      </w:hyperlink>
      <w:r w:rsidRPr="00DE4653">
        <w:rPr>
          <w:rStyle w:val="Hyperlink"/>
          <w:b/>
        </w:rPr>
        <w:t>.</w:t>
      </w:r>
      <w:r w:rsidR="0048622B">
        <w:rPr>
          <w:rStyle w:val="FootnoteReference"/>
          <w:b/>
          <w:color w:val="0563C1" w:themeColor="hyperlink"/>
          <w:u w:val="single"/>
        </w:rPr>
        <w:footnoteReference w:id="2"/>
      </w:r>
      <w:r w:rsidRPr="00DE4653">
        <w:rPr>
          <w:b/>
        </w:rPr>
        <w:t xml:space="preserve">  </w:t>
      </w:r>
    </w:p>
    <w:p w14:paraId="4361A379" w14:textId="77777777" w:rsidR="005A4851" w:rsidRDefault="005A4851" w:rsidP="00A5434E">
      <w:pPr>
        <w:pStyle w:val="ListParagraph"/>
        <w:numPr>
          <w:ilvl w:val="1"/>
          <w:numId w:val="2"/>
        </w:numPr>
      </w:pPr>
      <w:r w:rsidRPr="00DE4653">
        <w:t xml:space="preserve">Must achieve and maintain an ENERGY STAR score of 75 or better </w:t>
      </w:r>
    </w:p>
    <w:p w14:paraId="13C93E0A" w14:textId="6906DA8D" w:rsidR="005A4851" w:rsidRPr="00555145" w:rsidRDefault="1AFA2358" w:rsidP="00A5434E">
      <w:pPr>
        <w:pStyle w:val="ListParagraph"/>
        <w:numPr>
          <w:ilvl w:val="1"/>
          <w:numId w:val="2"/>
        </w:numPr>
      </w:pPr>
      <w:r w:rsidRPr="431BD548">
        <w:rPr>
          <w:b/>
          <w:bCs/>
        </w:rPr>
        <w:t>Exemption period</w:t>
      </w:r>
      <w:r>
        <w:t xml:space="preserve">: Ten years or </w:t>
      </w:r>
      <w:proofErr w:type="gramStart"/>
      <w:r>
        <w:t>until</w:t>
      </w:r>
      <w:proofErr w:type="gramEnd"/>
      <w:r>
        <w:t xml:space="preserve"> the next ten-year compliance deadline, whichever is later, if the requirements for maintaining an exemption in future years are met (see</w:t>
      </w:r>
      <w:r w:rsidR="73831DD3">
        <w:t xml:space="preserve"> </w:t>
      </w:r>
      <w:r w:rsidR="73831DD3" w:rsidRPr="431BD548">
        <w:rPr>
          <w:b/>
          <w:bCs/>
        </w:rPr>
        <w:t>Maintaining an Efficiency Exemption</w:t>
      </w:r>
      <w:r w:rsidR="73831DD3">
        <w:t xml:space="preserve"> </w:t>
      </w:r>
      <w:r>
        <w:t>below).</w:t>
      </w:r>
    </w:p>
    <w:p w14:paraId="68C416A5" w14:textId="77777777" w:rsidR="005A4851" w:rsidRPr="00DE4653" w:rsidRDefault="005A4851" w:rsidP="00A5434E">
      <w:pPr>
        <w:pStyle w:val="ListParagraph"/>
        <w:numPr>
          <w:ilvl w:val="1"/>
          <w:numId w:val="2"/>
        </w:numPr>
      </w:pPr>
      <w:r w:rsidRPr="009E2FCD">
        <w:rPr>
          <w:b/>
        </w:rPr>
        <w:t>Required for submittal</w:t>
      </w:r>
      <w:r w:rsidRPr="00DE4653">
        <w:t>: Copy of curren</w:t>
      </w:r>
      <w:r>
        <w:t>t ENERGY STAR Certification</w:t>
      </w:r>
    </w:p>
    <w:p w14:paraId="45A59800" w14:textId="7E4714B8" w:rsidR="005A4851" w:rsidRPr="00555145" w:rsidRDefault="005A4851" w:rsidP="00A5434E">
      <w:pPr>
        <w:pStyle w:val="ListParagraph"/>
        <w:numPr>
          <w:ilvl w:val="0"/>
          <w:numId w:val="2"/>
        </w:numPr>
        <w:rPr>
          <w:b/>
        </w:rPr>
      </w:pPr>
      <w:r w:rsidRPr="00555145">
        <w:rPr>
          <w:b/>
        </w:rPr>
        <w:t xml:space="preserve">Current </w:t>
      </w:r>
      <w:hyperlink r:id="rId15" w:history="1">
        <w:r w:rsidRPr="00555145">
          <w:rPr>
            <w:rStyle w:val="Hyperlink"/>
            <w:b/>
          </w:rPr>
          <w:t>LEED EBOM certification</w:t>
        </w:r>
      </w:hyperlink>
      <w:r w:rsidRPr="00555145">
        <w:t xml:space="preserve"> (Leadership in Energy and Environmental Design: Existing Building Operations and Maintenance).</w:t>
      </w:r>
    </w:p>
    <w:p w14:paraId="7CC50C97" w14:textId="05EA1F30" w:rsidR="005A4851" w:rsidRDefault="1AFA2358" w:rsidP="431BD548">
      <w:pPr>
        <w:pStyle w:val="ListParagraph"/>
        <w:numPr>
          <w:ilvl w:val="1"/>
          <w:numId w:val="2"/>
        </w:numPr>
      </w:pPr>
      <w:r w:rsidRPr="431BD548">
        <w:rPr>
          <w:b/>
          <w:bCs/>
        </w:rPr>
        <w:t>Exemption period</w:t>
      </w:r>
      <w:r>
        <w:t xml:space="preserve">: Ten years or </w:t>
      </w:r>
      <w:proofErr w:type="gramStart"/>
      <w:r>
        <w:t>until</w:t>
      </w:r>
      <w:proofErr w:type="gramEnd"/>
      <w:r>
        <w:t xml:space="preserve"> the next ten-year compliance deadline, whichever is later, if the requirements for maintaining an exemption in future years are met (see </w:t>
      </w:r>
      <w:r w:rsidR="6A6FEC60" w:rsidRPr="431BD548">
        <w:rPr>
          <w:b/>
          <w:bCs/>
        </w:rPr>
        <w:t>Maintaining an Efficiency Exemption</w:t>
      </w:r>
      <w:r w:rsidRPr="431BD548">
        <w:rPr>
          <w:b/>
          <w:bCs/>
          <w:color w:val="004C4C" w:themeColor="accent6" w:themeShade="BF"/>
        </w:rPr>
        <w:t xml:space="preserve"> </w:t>
      </w:r>
      <w:r>
        <w:t>below).</w:t>
      </w:r>
    </w:p>
    <w:p w14:paraId="2E80FFD5" w14:textId="77777777" w:rsidR="005A4851" w:rsidRPr="00DE4653" w:rsidRDefault="005A4851" w:rsidP="00A5434E">
      <w:pPr>
        <w:pStyle w:val="ListParagraph"/>
        <w:numPr>
          <w:ilvl w:val="1"/>
          <w:numId w:val="2"/>
        </w:numPr>
      </w:pPr>
      <w:r w:rsidRPr="009E2FCD">
        <w:rPr>
          <w:b/>
        </w:rPr>
        <w:t>Required for submittal</w:t>
      </w:r>
      <w:r w:rsidRPr="00DE4653">
        <w:t>: Copy of LEED EBOM Certification with clear issue and renewal date.</w:t>
      </w:r>
    </w:p>
    <w:p w14:paraId="25E35557" w14:textId="77777777" w:rsidR="005A4851" w:rsidRPr="00DE4653" w:rsidRDefault="005A4851" w:rsidP="00A5434E">
      <w:pPr>
        <w:pStyle w:val="ListParagraph"/>
        <w:numPr>
          <w:ilvl w:val="0"/>
          <w:numId w:val="2"/>
        </w:numPr>
        <w:rPr>
          <w:b/>
        </w:rPr>
      </w:pPr>
      <w:proofErr w:type="gramStart"/>
      <w:r w:rsidRPr="00DE4653">
        <w:rPr>
          <w:b/>
        </w:rPr>
        <w:t>Can</w:t>
      </w:r>
      <w:proofErr w:type="gramEnd"/>
      <w:r w:rsidRPr="00DE4653">
        <w:rPr>
          <w:b/>
        </w:rPr>
        <w:t xml:space="preserve"> demonstrate a pattern of significant and consistent improvements in energy efficiency</w:t>
      </w:r>
      <w:r w:rsidRPr="00DE4653">
        <w:t xml:space="preserve"> </w:t>
      </w:r>
      <w:r w:rsidRPr="00DE4653">
        <w:rPr>
          <w:b/>
        </w:rPr>
        <w:t>or greenhouse gas emissions</w:t>
      </w:r>
      <w:r w:rsidRPr="00DE4653">
        <w:t xml:space="preserve"> subject to approval by the City Manager and demonstrated by provided information, as outlined below.</w:t>
      </w:r>
    </w:p>
    <w:p w14:paraId="1D4D9E9C" w14:textId="77FC605C" w:rsidR="005A4851" w:rsidRPr="00DE4653" w:rsidRDefault="1AFA2358" w:rsidP="431BD548">
      <w:pPr>
        <w:pStyle w:val="ListParagraph"/>
        <w:numPr>
          <w:ilvl w:val="1"/>
          <w:numId w:val="2"/>
        </w:numPr>
      </w:pPr>
      <w:r w:rsidRPr="431BD548">
        <w:rPr>
          <w:b/>
          <w:bCs/>
        </w:rPr>
        <w:t>Exemption period</w:t>
      </w:r>
      <w:r>
        <w:t xml:space="preserve">: Permanent exemption from lighting requirements, exempt from first round of energy assessment and </w:t>
      </w:r>
      <w:proofErr w:type="spellStart"/>
      <w:r>
        <w:t>retrocommissioning</w:t>
      </w:r>
      <w:proofErr w:type="spellEnd"/>
      <w:r>
        <w:t xml:space="preserve"> requirements; re-apply</w:t>
      </w:r>
      <w:r w:rsidR="490C4D0B">
        <w:t xml:space="preserve"> at least</w:t>
      </w:r>
      <w:r>
        <w:t xml:space="preserve"> 60 days prior to requirement deadline of the next round of efficiency requirements</w:t>
      </w:r>
      <w:r w:rsidR="14F1E73E">
        <w:t>- if the requirements for maintaining an exemption in future years are met</w:t>
      </w:r>
      <w:r>
        <w:t xml:space="preserve"> (see </w:t>
      </w:r>
      <w:r w:rsidR="7A54768D" w:rsidRPr="431BD548">
        <w:rPr>
          <w:b/>
          <w:bCs/>
        </w:rPr>
        <w:t>Maintaining an Efficiency Exemption</w:t>
      </w:r>
      <w:r w:rsidRPr="431BD548">
        <w:rPr>
          <w:b/>
          <w:bCs/>
          <w:color w:val="004C4C" w:themeColor="accent6" w:themeShade="BF"/>
        </w:rPr>
        <w:t xml:space="preserve"> </w:t>
      </w:r>
      <w:r>
        <w:t>below).</w:t>
      </w:r>
    </w:p>
    <w:p w14:paraId="45CA7C65" w14:textId="77777777" w:rsidR="005A4851" w:rsidRPr="00DE4653" w:rsidRDefault="005A4851" w:rsidP="00A5434E">
      <w:pPr>
        <w:pStyle w:val="ListParagraph"/>
        <w:numPr>
          <w:ilvl w:val="1"/>
          <w:numId w:val="2"/>
        </w:numPr>
      </w:pPr>
      <w:r w:rsidRPr="009E2FCD">
        <w:rPr>
          <w:b/>
        </w:rPr>
        <w:lastRenderedPageBreak/>
        <w:t>Required for submittal</w:t>
      </w:r>
      <w:r w:rsidRPr="00DE4653">
        <w:t>:</w:t>
      </w:r>
    </w:p>
    <w:p w14:paraId="0413119A" w14:textId="77777777" w:rsidR="005A4851" w:rsidRPr="00DE4653" w:rsidRDefault="005A4851" w:rsidP="00A5434E">
      <w:pPr>
        <w:pStyle w:val="ListParagraph"/>
        <w:numPr>
          <w:ilvl w:val="2"/>
          <w:numId w:val="2"/>
        </w:numPr>
      </w:pPr>
      <w:r w:rsidRPr="00DE4653">
        <w:t xml:space="preserve">ENERGY STAR Portfolio Manager report or other records showing energy consumption and/or greenhouse gas emissions for the past </w:t>
      </w:r>
      <w:r>
        <w:t>three</w:t>
      </w:r>
      <w:r w:rsidRPr="00DE4653">
        <w:t xml:space="preserve"> years; and,</w:t>
      </w:r>
    </w:p>
    <w:p w14:paraId="6A96EB6D" w14:textId="77777777" w:rsidR="005A4851" w:rsidRPr="00DE4653" w:rsidRDefault="005A4851" w:rsidP="00A5434E">
      <w:pPr>
        <w:pStyle w:val="ListParagraph"/>
        <w:numPr>
          <w:ilvl w:val="2"/>
          <w:numId w:val="2"/>
        </w:numPr>
      </w:pPr>
      <w:r w:rsidRPr="00DE4653">
        <w:t>A narrative and documentation of initiatives, activities, etc. used to achieve the reductions.</w:t>
      </w:r>
      <w:r w:rsidRPr="004A269D">
        <w:rPr>
          <w:vertAlign w:val="superscript"/>
        </w:rPr>
        <w:footnoteReference w:id="3"/>
      </w:r>
      <w:r w:rsidRPr="004A269D">
        <w:rPr>
          <w:vertAlign w:val="superscript"/>
        </w:rPr>
        <w:t xml:space="preserve"> </w:t>
      </w:r>
      <w:r w:rsidRPr="00DE4653">
        <w:t>The narrative should include the following:</w:t>
      </w:r>
    </w:p>
    <w:p w14:paraId="3AD2B46D" w14:textId="77777777" w:rsidR="005A4851" w:rsidRPr="00DE4653" w:rsidRDefault="005A4851" w:rsidP="00A5434E">
      <w:pPr>
        <w:pStyle w:val="ListParagraph"/>
        <w:numPr>
          <w:ilvl w:val="2"/>
          <w:numId w:val="2"/>
        </w:numPr>
      </w:pPr>
      <w:r w:rsidRPr="00DE4653">
        <w:t>An explanation of why this building is ineligible for ENERGY STAR or LEED EBOM certification and if applicable; and (choose one of the following):</w:t>
      </w:r>
    </w:p>
    <w:p w14:paraId="40608ECB" w14:textId="1564AE41" w:rsidR="005A4851" w:rsidRPr="00DE4653" w:rsidRDefault="005A4851" w:rsidP="00A5434E">
      <w:pPr>
        <w:pStyle w:val="ListParagraph"/>
        <w:numPr>
          <w:ilvl w:val="3"/>
          <w:numId w:val="2"/>
        </w:numPr>
      </w:pPr>
      <w:r w:rsidRPr="00DE4653">
        <w:rPr>
          <w:b/>
        </w:rPr>
        <w:t>Path 1</w:t>
      </w:r>
      <w:r w:rsidRPr="00DE4653">
        <w:t xml:space="preserve">: (only available to buildings ineligible to receive an ENERGY STAR </w:t>
      </w:r>
      <w:r>
        <w:t>certification</w:t>
      </w:r>
      <w:r w:rsidRPr="00DE4653">
        <w:t xml:space="preserve">): </w:t>
      </w:r>
      <w:r w:rsidR="00CD78A2" w:rsidRPr="00CD78A2">
        <w:t xml:space="preserve">Provide justification that the building’s energy performance is better than at least 75 percent of similar buildings and provide the dataset used for administrative review. The dataset used to justify performance should include building site or source energy </w:t>
      </w:r>
      <w:proofErr w:type="gramStart"/>
      <w:r w:rsidR="00CD78A2" w:rsidRPr="00CD78A2">
        <w:t>use intensity</w:t>
      </w:r>
      <w:proofErr w:type="gramEnd"/>
      <w:r w:rsidR="00CD78A2" w:rsidRPr="00CD78A2">
        <w:t xml:space="preserve"> data of at least five similar buildings, normalized for climate, building use, and occupancy or a similar dataset that can be justified. This can include the Portfolio Manager comparison </w:t>
      </w:r>
      <w:proofErr w:type="gramStart"/>
      <w:r w:rsidR="00CD78A2" w:rsidRPr="00CD78A2">
        <w:t>dataset</w:t>
      </w:r>
      <w:proofErr w:type="gramEnd"/>
      <w:r w:rsidRPr="00DE4653">
        <w:t>; or</w:t>
      </w:r>
    </w:p>
    <w:p w14:paraId="5352C960" w14:textId="20C43562" w:rsidR="005A4851" w:rsidRPr="00DE4653" w:rsidRDefault="005A4851" w:rsidP="00A5434E">
      <w:pPr>
        <w:pStyle w:val="ListParagraph"/>
        <w:numPr>
          <w:ilvl w:val="3"/>
          <w:numId w:val="2"/>
        </w:numPr>
      </w:pPr>
      <w:r w:rsidRPr="00DE4653">
        <w:rPr>
          <w:b/>
        </w:rPr>
        <w:t>Path 2</w:t>
      </w:r>
      <w:r w:rsidRPr="00DE4653">
        <w:t xml:space="preserve">: </w:t>
      </w:r>
      <w:r w:rsidR="00CD78A2" w:rsidRPr="00CD78A2">
        <w:t xml:space="preserve">Using </w:t>
      </w:r>
      <w:r w:rsidR="002B733D">
        <w:t xml:space="preserve">at latest </w:t>
      </w:r>
      <w:r w:rsidR="00CD78A2" w:rsidRPr="00CD78A2">
        <w:t>the first year of rating and reporting, as set forth in BRC 10-7.7-2, as the baseline year site or source energy use intensity (EUI), implement measures with a combined deemed savings that will achieve at least a 15% reduction in EUI from the base year EUI within five years of application. Applicants must provide those deemed savings calculations to the city with proof of installation of each measure</w:t>
      </w:r>
      <w:r w:rsidRPr="00DE4653">
        <w:t>; or</w:t>
      </w:r>
    </w:p>
    <w:p w14:paraId="2A045A98" w14:textId="77777777" w:rsidR="005A4851" w:rsidRDefault="005A4851" w:rsidP="00A5434E">
      <w:pPr>
        <w:pStyle w:val="ListParagraph"/>
        <w:numPr>
          <w:ilvl w:val="3"/>
          <w:numId w:val="2"/>
        </w:numPr>
      </w:pPr>
      <w:r w:rsidRPr="00DE4653">
        <w:rPr>
          <w:b/>
        </w:rPr>
        <w:t>Path 3</w:t>
      </w:r>
      <w:r w:rsidRPr="00DE4653">
        <w:t xml:space="preserve">: An alternative approach with supporting documentation showing a pattern of significant and consistent improvements. </w:t>
      </w:r>
    </w:p>
    <w:tbl>
      <w:tblPr>
        <w:tblStyle w:val="TableGrid"/>
        <w:tblW w:w="0" w:type="auto"/>
        <w:tblInd w:w="-72" w:type="dxa"/>
        <w:tblLook w:val="04A0" w:firstRow="1" w:lastRow="0" w:firstColumn="1" w:lastColumn="0" w:noHBand="0" w:noVBand="1"/>
      </w:tblPr>
      <w:tblGrid>
        <w:gridCol w:w="9422"/>
      </w:tblGrid>
      <w:tr w:rsidR="005A4851" w14:paraId="7735E49B" w14:textId="77777777" w:rsidTr="00F3525B">
        <w:tc>
          <w:tcPr>
            <w:tcW w:w="9648" w:type="dxa"/>
            <w:shd w:val="clear" w:color="auto" w:fill="F2F2F2" w:themeFill="background1" w:themeFillShade="F2"/>
          </w:tcPr>
          <w:p w14:paraId="04143038" w14:textId="77777777" w:rsidR="005A4851" w:rsidRPr="00D972EE" w:rsidRDefault="005A4851" w:rsidP="00F3525B">
            <w:pPr>
              <w:rPr>
                <w:i/>
                <w:szCs w:val="21"/>
              </w:rPr>
            </w:pPr>
            <w:r w:rsidRPr="00B35AE9">
              <w:rPr>
                <w:b/>
                <w:i/>
                <w:szCs w:val="21"/>
              </w:rPr>
              <w:t>Example:</w:t>
            </w:r>
            <w:r w:rsidRPr="00B35AE9">
              <w:rPr>
                <w:i/>
                <w:szCs w:val="21"/>
              </w:rPr>
              <w:t xml:space="preserve"> You</w:t>
            </w:r>
            <w:r>
              <w:rPr>
                <w:i/>
                <w:szCs w:val="21"/>
              </w:rPr>
              <w:t>r building recently underwent a</w:t>
            </w:r>
            <w:r w:rsidRPr="00B35AE9">
              <w:rPr>
                <w:i/>
                <w:szCs w:val="21"/>
              </w:rPr>
              <w:t xml:space="preserve"> </w:t>
            </w:r>
            <w:proofErr w:type="gramStart"/>
            <w:r>
              <w:rPr>
                <w:i/>
                <w:szCs w:val="21"/>
              </w:rPr>
              <w:t>renovation</w:t>
            </w:r>
            <w:proofErr w:type="gramEnd"/>
            <w:r>
              <w:rPr>
                <w:i/>
                <w:szCs w:val="21"/>
              </w:rPr>
              <w:t xml:space="preserve"> and you </w:t>
            </w:r>
            <w:r w:rsidRPr="00B35AE9">
              <w:rPr>
                <w:i/>
                <w:szCs w:val="21"/>
              </w:rPr>
              <w:t>upgraded much of your major HVAC equipment</w:t>
            </w:r>
            <w:r>
              <w:rPr>
                <w:i/>
                <w:szCs w:val="21"/>
              </w:rPr>
              <w:t>.</w:t>
            </w:r>
            <w:r w:rsidRPr="00B35AE9">
              <w:rPr>
                <w:i/>
                <w:szCs w:val="21"/>
              </w:rPr>
              <w:t xml:space="preserve"> Do you qualify for an exemption from all energy efficiency requirements? </w:t>
            </w:r>
            <w:r w:rsidRPr="005A7CD3">
              <w:rPr>
                <w:b/>
                <w:i/>
                <w:szCs w:val="21"/>
              </w:rPr>
              <w:t>Answer</w:t>
            </w:r>
            <w:r>
              <w:rPr>
                <w:b/>
                <w:i/>
                <w:szCs w:val="21"/>
              </w:rPr>
              <w:t>:</w:t>
            </w:r>
            <w:r>
              <w:rPr>
                <w:i/>
                <w:szCs w:val="21"/>
              </w:rPr>
              <w:t xml:space="preserve"> IT DEPENDS. You will still be required to rate and report, so first look at your ENERGY STAR score – are you eligible for certification or close to it? If you’re not eligible for a score, how does your EUI compare to the median? Is it in the top 25% of like buildings or close? If </w:t>
            </w:r>
            <w:r w:rsidRPr="00D972EE">
              <w:rPr>
                <w:i/>
                <w:szCs w:val="21"/>
              </w:rPr>
              <w:t>you are clos</w:t>
            </w:r>
            <w:r>
              <w:rPr>
                <w:i/>
                <w:szCs w:val="21"/>
              </w:rPr>
              <w:t>e to either</w:t>
            </w:r>
            <w:r w:rsidRPr="00D972EE">
              <w:rPr>
                <w:i/>
                <w:szCs w:val="21"/>
              </w:rPr>
              <w:t xml:space="preserve">, it is probably more cost-effective to invest in a few more </w:t>
            </w:r>
            <w:proofErr w:type="gramStart"/>
            <w:r w:rsidRPr="00D972EE">
              <w:rPr>
                <w:i/>
                <w:szCs w:val="21"/>
              </w:rPr>
              <w:t>efficiency</w:t>
            </w:r>
            <w:proofErr w:type="gramEnd"/>
            <w:r w:rsidRPr="00D972EE">
              <w:rPr>
                <w:i/>
                <w:szCs w:val="21"/>
              </w:rPr>
              <w:t xml:space="preserve"> measures to achieve the </w:t>
            </w:r>
            <w:r>
              <w:rPr>
                <w:i/>
                <w:szCs w:val="21"/>
              </w:rPr>
              <w:t>exemption</w:t>
            </w:r>
            <w:r w:rsidRPr="00D972EE">
              <w:rPr>
                <w:i/>
                <w:szCs w:val="21"/>
              </w:rPr>
              <w:t xml:space="preserve"> than it would be to spend the capital on the assessment, RCx, and lighting upgrades.</w:t>
            </w:r>
          </w:p>
          <w:p w14:paraId="158A9443" w14:textId="77777777" w:rsidR="005A4851" w:rsidRDefault="005A4851" w:rsidP="00F3525B">
            <w:pPr>
              <w:rPr>
                <w:i/>
                <w:szCs w:val="21"/>
              </w:rPr>
            </w:pPr>
          </w:p>
          <w:p w14:paraId="00667F7F" w14:textId="4BF2B6DA" w:rsidR="005A4851" w:rsidRPr="00303E9B" w:rsidRDefault="005A4851" w:rsidP="00F3525B">
            <w:pPr>
              <w:rPr>
                <w:i/>
                <w:szCs w:val="21"/>
              </w:rPr>
            </w:pPr>
            <w:r w:rsidRPr="00303E9B">
              <w:rPr>
                <w:b/>
                <w:i/>
                <w:szCs w:val="21"/>
              </w:rPr>
              <w:t>Example</w:t>
            </w:r>
            <w:r>
              <w:rPr>
                <w:i/>
                <w:szCs w:val="21"/>
              </w:rPr>
              <w:t>: Your building is not eligible for an ENERGY STAR score, but you have been prioritizing efficiency.</w:t>
            </w:r>
            <w:r w:rsidRPr="00B35AE9">
              <w:rPr>
                <w:i/>
                <w:szCs w:val="21"/>
              </w:rPr>
              <w:t xml:space="preserve"> Do you qualify for an exemption from all energy efficiency requirements?</w:t>
            </w:r>
            <w:r>
              <w:rPr>
                <w:i/>
                <w:szCs w:val="21"/>
              </w:rPr>
              <w:t xml:space="preserve"> </w:t>
            </w:r>
            <w:r w:rsidRPr="005A7CD3">
              <w:rPr>
                <w:b/>
                <w:i/>
                <w:szCs w:val="21"/>
              </w:rPr>
              <w:t>Answer</w:t>
            </w:r>
            <w:r>
              <w:rPr>
                <w:b/>
                <w:i/>
                <w:szCs w:val="21"/>
              </w:rPr>
              <w:t>:</w:t>
            </w:r>
            <w:r>
              <w:rPr>
                <w:i/>
                <w:szCs w:val="21"/>
              </w:rPr>
              <w:t xml:space="preserve"> IT DEPENDS. Can you prove your building is in the top 25% of like buildings when looking at EUIs? If not, consider getting an energy assessment or working with a contractor to identify additional efficiency measures that will result in a 15% savings reduction (based on deemed savings) from your EUI reported in your first R&amp;R compliance report. If you can submit proof of installation of those measures that would achieve a 15% reduction </w:t>
            </w:r>
            <w:r w:rsidR="00936858">
              <w:rPr>
                <w:i/>
                <w:szCs w:val="21"/>
              </w:rPr>
              <w:t>within 5 years</w:t>
            </w:r>
            <w:r>
              <w:rPr>
                <w:i/>
                <w:szCs w:val="21"/>
              </w:rPr>
              <w:t xml:space="preserve"> you may be eligible for the efficiency exemption. </w:t>
            </w:r>
          </w:p>
        </w:tc>
      </w:tr>
    </w:tbl>
    <w:p w14:paraId="698FF45C" w14:textId="77777777" w:rsidR="005A4851" w:rsidRDefault="005A4851" w:rsidP="005A4851">
      <w:pPr>
        <w:pStyle w:val="NormalWeb"/>
        <w:spacing w:before="0" w:beforeAutospacing="0" w:after="0" w:afterAutospacing="0"/>
        <w:ind w:left="1800"/>
      </w:pPr>
    </w:p>
    <w:p w14:paraId="529E64C8" w14:textId="77777777" w:rsidR="005A4851" w:rsidRDefault="005A4851" w:rsidP="00936858">
      <w:pPr>
        <w:pStyle w:val="Heading2"/>
      </w:pPr>
      <w:bookmarkStart w:id="93" w:name="_Toc445906791"/>
      <w:bookmarkStart w:id="94" w:name="_Toc445906949"/>
      <w:bookmarkStart w:id="95" w:name="_Toc445907105"/>
      <w:bookmarkStart w:id="96" w:name="_Toc445907261"/>
      <w:bookmarkStart w:id="97" w:name="_Toc445907419"/>
      <w:bookmarkStart w:id="98" w:name="_Toc445907575"/>
      <w:bookmarkStart w:id="99" w:name="_Toc445907731"/>
      <w:bookmarkStart w:id="100" w:name="_Toc445907887"/>
      <w:bookmarkStart w:id="101" w:name="_Toc445908043"/>
      <w:bookmarkStart w:id="102" w:name="_Toc445906792"/>
      <w:bookmarkStart w:id="103" w:name="_Toc445906950"/>
      <w:bookmarkStart w:id="104" w:name="_Toc445907106"/>
      <w:bookmarkStart w:id="105" w:name="_Toc445907262"/>
      <w:bookmarkStart w:id="106" w:name="_Toc445907420"/>
      <w:bookmarkStart w:id="107" w:name="_Toc445907576"/>
      <w:bookmarkStart w:id="108" w:name="_Toc445907732"/>
      <w:bookmarkStart w:id="109" w:name="_Toc445907888"/>
      <w:bookmarkStart w:id="110" w:name="_Toc445908044"/>
      <w:bookmarkStart w:id="111" w:name="_Toc445906793"/>
      <w:bookmarkStart w:id="112" w:name="_Toc445906951"/>
      <w:bookmarkStart w:id="113" w:name="_Toc445907107"/>
      <w:bookmarkStart w:id="114" w:name="_Toc445907263"/>
      <w:bookmarkStart w:id="115" w:name="_Toc445907421"/>
      <w:bookmarkStart w:id="116" w:name="_Toc445907577"/>
      <w:bookmarkStart w:id="117" w:name="_Toc445907733"/>
      <w:bookmarkStart w:id="118" w:name="_Toc445907889"/>
      <w:bookmarkStart w:id="119" w:name="_Toc445908045"/>
      <w:bookmarkStart w:id="120" w:name="_Toc445906794"/>
      <w:bookmarkStart w:id="121" w:name="_Toc445906952"/>
      <w:bookmarkStart w:id="122" w:name="_Toc445907108"/>
      <w:bookmarkStart w:id="123" w:name="_Toc445907264"/>
      <w:bookmarkStart w:id="124" w:name="_Toc445907422"/>
      <w:bookmarkStart w:id="125" w:name="_Toc445907578"/>
      <w:bookmarkStart w:id="126" w:name="_Toc445907734"/>
      <w:bookmarkStart w:id="127" w:name="_Toc445907890"/>
      <w:bookmarkStart w:id="128" w:name="_Toc445908046"/>
      <w:bookmarkStart w:id="129" w:name="_Toc445906795"/>
      <w:bookmarkStart w:id="130" w:name="_Toc445906953"/>
      <w:bookmarkStart w:id="131" w:name="_Toc445907109"/>
      <w:bookmarkStart w:id="132" w:name="_Toc445907265"/>
      <w:bookmarkStart w:id="133" w:name="_Toc445907423"/>
      <w:bookmarkStart w:id="134" w:name="_Toc445907579"/>
      <w:bookmarkStart w:id="135" w:name="_Toc445907735"/>
      <w:bookmarkStart w:id="136" w:name="_Toc445907891"/>
      <w:bookmarkStart w:id="137" w:name="_Toc445908047"/>
      <w:bookmarkStart w:id="138" w:name="_Toc445906796"/>
      <w:bookmarkStart w:id="139" w:name="_Toc445906954"/>
      <w:bookmarkStart w:id="140" w:name="_Toc445907110"/>
      <w:bookmarkStart w:id="141" w:name="_Toc445907266"/>
      <w:bookmarkStart w:id="142" w:name="_Toc445907424"/>
      <w:bookmarkStart w:id="143" w:name="_Toc445907580"/>
      <w:bookmarkStart w:id="144" w:name="_Toc445907736"/>
      <w:bookmarkStart w:id="145" w:name="_Toc445907892"/>
      <w:bookmarkStart w:id="146" w:name="_Toc445908048"/>
      <w:bookmarkStart w:id="147" w:name="_Toc445906797"/>
      <w:bookmarkStart w:id="148" w:name="_Toc445906955"/>
      <w:bookmarkStart w:id="149" w:name="_Toc445907111"/>
      <w:bookmarkStart w:id="150" w:name="_Toc445907267"/>
      <w:bookmarkStart w:id="151" w:name="_Toc445907425"/>
      <w:bookmarkStart w:id="152" w:name="_Toc445907581"/>
      <w:bookmarkStart w:id="153" w:name="_Toc445907737"/>
      <w:bookmarkStart w:id="154" w:name="_Toc445907893"/>
      <w:bookmarkStart w:id="155" w:name="_Toc445908049"/>
      <w:bookmarkStart w:id="156" w:name="_Toc445462117"/>
      <w:bookmarkStart w:id="157" w:name="_Toc445462991"/>
      <w:bookmarkStart w:id="158" w:name="_Ref445986441"/>
      <w:bookmarkStart w:id="159" w:name="_Ref446947353"/>
      <w:bookmarkStart w:id="160" w:name="_Toc485220671"/>
      <w:bookmarkStart w:id="161" w:name="_Toc530475252"/>
      <w:bookmarkStart w:id="162" w:name="_Toc441843085"/>
      <w:bookmarkEnd w:id="88"/>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03491F">
        <w:t>Maintaining a</w:t>
      </w:r>
      <w:r>
        <w:t>n Efficiency</w:t>
      </w:r>
      <w:r w:rsidRPr="0003491F">
        <w:t xml:space="preserve"> Exemption</w:t>
      </w:r>
      <w:bookmarkEnd w:id="156"/>
      <w:bookmarkEnd w:id="157"/>
      <w:bookmarkEnd w:id="158"/>
      <w:bookmarkEnd w:id="159"/>
      <w:bookmarkEnd w:id="160"/>
      <w:bookmarkEnd w:id="161"/>
    </w:p>
    <w:p w14:paraId="218D340F" w14:textId="77777777" w:rsidR="005A4851" w:rsidRPr="00521F3D" w:rsidRDefault="005A4851" w:rsidP="005A4851">
      <w:r w:rsidRPr="00521F3D">
        <w:t xml:space="preserve">If an exemption is granted for having a current U.S. Environmental Protection Agency ENERGY STAR certification, or a current </w:t>
      </w:r>
      <w:r>
        <w:t xml:space="preserve">LEED EBOM </w:t>
      </w:r>
      <w:r w:rsidRPr="00521F3D">
        <w:t xml:space="preserve">certification from the U.S. Green Building Council, the </w:t>
      </w:r>
      <w:r>
        <w:t>building owner</w:t>
      </w:r>
      <w:r w:rsidRPr="00521F3D">
        <w:t xml:space="preserve"> must maintain that exemption. </w:t>
      </w:r>
    </w:p>
    <w:p w14:paraId="7F94B204" w14:textId="77777777" w:rsidR="00CD78A2" w:rsidRPr="00CD78A2" w:rsidRDefault="00CD78A2" w:rsidP="002B733D">
      <w:pPr>
        <w:pStyle w:val="NoSpacing"/>
        <w:rPr>
          <w:i/>
        </w:rPr>
      </w:pPr>
      <w:r w:rsidRPr="00CD78A2">
        <w:lastRenderedPageBreak/>
        <w:t>If an exemption is granted for having a current U.S. Environmental Protection Agency ENERGY STAR certification, or a current Leadership in Energy and Environmental Design (LEED) Building Operations and Maintenance certification from the U.S. Green Building Council, or for showing a significant pattern of continuous reductions in energy or greenhouse gas emissions, the Owner must maintain that exemption in the following ways.</w:t>
      </w:r>
    </w:p>
    <w:p w14:paraId="067E4F7F" w14:textId="77777777" w:rsidR="00CD78A2" w:rsidRPr="00CD78A2" w:rsidRDefault="00CD78A2" w:rsidP="00CD78A2">
      <w:pPr>
        <w:pStyle w:val="NoSpacing"/>
        <w:numPr>
          <w:ilvl w:val="0"/>
          <w:numId w:val="10"/>
        </w:numPr>
      </w:pPr>
      <w:r w:rsidRPr="00CD78A2">
        <w:t>If the exemption is granted for an ENERGY STAR certification:</w:t>
      </w:r>
    </w:p>
    <w:p w14:paraId="36BC8158" w14:textId="77777777" w:rsidR="00CD78A2" w:rsidRPr="00CD78A2" w:rsidRDefault="00CD78A2" w:rsidP="00CD78A2">
      <w:pPr>
        <w:pStyle w:val="NoSpacing"/>
        <w:numPr>
          <w:ilvl w:val="0"/>
          <w:numId w:val="11"/>
        </w:numPr>
      </w:pPr>
      <w:r w:rsidRPr="00CD78A2">
        <w:t xml:space="preserve">The exemption will be valid </w:t>
      </w:r>
      <w:proofErr w:type="gramStart"/>
      <w:r w:rsidRPr="00CD78A2">
        <w:t>as long as</w:t>
      </w:r>
      <w:proofErr w:type="gramEnd"/>
      <w:r w:rsidRPr="00CD78A2">
        <w:t xml:space="preserve"> the ENERGY STAR score of the building is in the certified range (minimum of 75), as submitted through the rating and reporting requirement, with an actual re-certification required every 10 years. </w:t>
      </w:r>
    </w:p>
    <w:p w14:paraId="78BAEE5F" w14:textId="77777777" w:rsidR="00CD78A2" w:rsidRPr="00CD78A2" w:rsidRDefault="00CD78A2" w:rsidP="00CD78A2">
      <w:pPr>
        <w:pStyle w:val="NoSpacing"/>
        <w:numPr>
          <w:ilvl w:val="0"/>
          <w:numId w:val="11"/>
        </w:numPr>
      </w:pPr>
      <w:r w:rsidRPr="00CD78A2">
        <w:t xml:space="preserve">If the building’s score falls below the certified range (below 75) at the time of annual rating and reporting, the owner will have one more rating and reporting cycle to improve their ENERGY STAR score above 75 – if they fail to do so, the exemption will no longer be valid, and the owner will have to comply with all future efficiency requirements. </w:t>
      </w:r>
    </w:p>
    <w:p w14:paraId="3657B7CF" w14:textId="77777777" w:rsidR="00CD78A2" w:rsidRPr="00CD78A2" w:rsidRDefault="00CD78A2" w:rsidP="00CD78A2">
      <w:pPr>
        <w:pStyle w:val="NoSpacing"/>
        <w:numPr>
          <w:ilvl w:val="0"/>
          <w:numId w:val="10"/>
        </w:numPr>
      </w:pPr>
      <w:r w:rsidRPr="00CD78A2">
        <w:t>If the exemption is granted for a LEED for Existing Buildings Operations and Maintenance certification:</w:t>
      </w:r>
    </w:p>
    <w:p w14:paraId="5E335F6E" w14:textId="77777777" w:rsidR="00CD78A2" w:rsidRPr="00CD78A2" w:rsidRDefault="00CD78A2" w:rsidP="00CD78A2">
      <w:pPr>
        <w:pStyle w:val="NoSpacing"/>
        <w:numPr>
          <w:ilvl w:val="0"/>
          <w:numId w:val="12"/>
        </w:numPr>
      </w:pPr>
      <w:r w:rsidRPr="00CD78A2">
        <w:t xml:space="preserve">The exemption will be valid </w:t>
      </w:r>
      <w:proofErr w:type="gramStart"/>
      <w:r w:rsidRPr="00CD78A2">
        <w:t>as long as</w:t>
      </w:r>
      <w:proofErr w:type="gramEnd"/>
      <w:r w:rsidRPr="00CD78A2">
        <w:t xml:space="preserve"> the LEED Certification is valid (re-certification is required every 5 years through LEED to stay current).</w:t>
      </w:r>
    </w:p>
    <w:p w14:paraId="73E0F9FE" w14:textId="77777777" w:rsidR="00CD78A2" w:rsidRPr="00CD78A2" w:rsidRDefault="00CD78A2" w:rsidP="00CD78A2">
      <w:pPr>
        <w:pStyle w:val="NoSpacing"/>
        <w:numPr>
          <w:ilvl w:val="0"/>
          <w:numId w:val="12"/>
        </w:numPr>
      </w:pPr>
      <w:r w:rsidRPr="00CD78A2">
        <w:t>If the building loses its LEED certification, the exemption will no longer be valid, and the owner will have to comply with all future efficiency requirements.</w:t>
      </w:r>
    </w:p>
    <w:p w14:paraId="18E368DB" w14:textId="77777777" w:rsidR="00CD78A2" w:rsidRPr="00CD78A2" w:rsidRDefault="00CD78A2" w:rsidP="00CD78A2">
      <w:pPr>
        <w:pStyle w:val="NoSpacing"/>
        <w:numPr>
          <w:ilvl w:val="0"/>
          <w:numId w:val="10"/>
        </w:numPr>
      </w:pPr>
      <w:r w:rsidRPr="00CD78A2">
        <w:t xml:space="preserve">If </w:t>
      </w:r>
      <w:proofErr w:type="gramStart"/>
      <w:r w:rsidRPr="00CD78A2">
        <w:t>the exemption</w:t>
      </w:r>
      <w:proofErr w:type="gramEnd"/>
      <w:r w:rsidRPr="00CD78A2">
        <w:t xml:space="preserve"> is granted for showing a significant pattern of continuous reductions in energy or greenhouse gas emissions, the exemption will be valid provided the basis for the exemption is maintained as demonstrated through annual rating and reporting. </w:t>
      </w:r>
    </w:p>
    <w:p w14:paraId="0A4E6AF1" w14:textId="77777777" w:rsidR="005A4851" w:rsidRDefault="005A4851" w:rsidP="005A4851">
      <w:pPr>
        <w:pStyle w:val="NoSpacing"/>
        <w:ind w:left="720"/>
      </w:pPr>
    </w:p>
    <w:tbl>
      <w:tblPr>
        <w:tblStyle w:val="TableGrid"/>
        <w:tblW w:w="0" w:type="auto"/>
        <w:tblInd w:w="18" w:type="dxa"/>
        <w:tblLook w:val="04A0" w:firstRow="1" w:lastRow="0" w:firstColumn="1" w:lastColumn="0" w:noHBand="0" w:noVBand="1"/>
      </w:tblPr>
      <w:tblGrid>
        <w:gridCol w:w="9332"/>
      </w:tblGrid>
      <w:tr w:rsidR="005A4851" w14:paraId="4FB0E20A" w14:textId="77777777" w:rsidTr="00936858">
        <w:tc>
          <w:tcPr>
            <w:tcW w:w="9332" w:type="dxa"/>
            <w:shd w:val="clear" w:color="auto" w:fill="F2F2F2" w:themeFill="background1" w:themeFillShade="F2"/>
          </w:tcPr>
          <w:p w14:paraId="7D696767" w14:textId="27BE9495" w:rsidR="005A4851" w:rsidRDefault="005A4851" w:rsidP="00F3525B">
            <w:pPr>
              <w:rPr>
                <w:i/>
                <w:sz w:val="21"/>
                <w:szCs w:val="21"/>
              </w:rPr>
            </w:pPr>
            <w:r w:rsidRPr="0003491F">
              <w:rPr>
                <w:b/>
                <w:i/>
                <w:sz w:val="21"/>
                <w:szCs w:val="21"/>
              </w:rPr>
              <w:t>Example:</w:t>
            </w:r>
            <w:r w:rsidRPr="0003491F">
              <w:rPr>
                <w:i/>
                <w:sz w:val="21"/>
                <w:szCs w:val="21"/>
              </w:rPr>
              <w:t xml:space="preserve"> </w:t>
            </w:r>
            <w:r>
              <w:rPr>
                <w:i/>
              </w:rPr>
              <w:t xml:space="preserve">In 2015 you received an ENERGY STAR score of 78 and decided to certify the building. You then applied for and received an exemption from the efficiency requirements that begin in 2019. However, your 2017 rating and reporting efforts show that your building has been using steadily more energy especially over the last two years and Portfolio Manager shows an ENERGY STAR score of 73. Are you still exempt from all energy efficiency requirements that begin in 2019? </w:t>
            </w:r>
            <w:r w:rsidRPr="005A7CD3">
              <w:rPr>
                <w:b/>
                <w:i/>
                <w:szCs w:val="21"/>
              </w:rPr>
              <w:t>Answer</w:t>
            </w:r>
            <w:r>
              <w:rPr>
                <w:b/>
                <w:i/>
                <w:szCs w:val="21"/>
              </w:rPr>
              <w:t>:</w:t>
            </w:r>
            <w:r>
              <w:rPr>
                <w:i/>
              </w:rPr>
              <w:t xml:space="preserve"> NOT NECESSARILY. </w:t>
            </w:r>
            <w:r w:rsidR="00936858">
              <w:rPr>
                <w:i/>
              </w:rPr>
              <w:t xml:space="preserve">You will have a </w:t>
            </w:r>
            <w:r w:rsidR="00EF54FC">
              <w:rPr>
                <w:i/>
              </w:rPr>
              <w:t>one-year</w:t>
            </w:r>
            <w:r w:rsidR="00936858">
              <w:rPr>
                <w:i/>
              </w:rPr>
              <w:t xml:space="preserve"> grace period to</w:t>
            </w:r>
            <w:r>
              <w:rPr>
                <w:i/>
              </w:rPr>
              <w:t xml:space="preserve"> get your score back up </w:t>
            </w:r>
            <w:r w:rsidR="00936858">
              <w:rPr>
                <w:i/>
              </w:rPr>
              <w:t xml:space="preserve">to at least 75 </w:t>
            </w:r>
            <w:r>
              <w:rPr>
                <w:i/>
              </w:rPr>
              <w:t>by your 2018 rating and reporting or you will lose the exemption</w:t>
            </w:r>
            <w:r w:rsidR="00936858">
              <w:rPr>
                <w:i/>
              </w:rPr>
              <w:t xml:space="preserve"> and be subject to all following efficiency requirements.</w:t>
            </w:r>
          </w:p>
        </w:tc>
      </w:tr>
    </w:tbl>
    <w:p w14:paraId="5A56962D" w14:textId="65F38252" w:rsidR="00936858" w:rsidRPr="00936858" w:rsidRDefault="00936858" w:rsidP="00936858">
      <w:pPr>
        <w:pStyle w:val="Heading1"/>
        <w:numPr>
          <w:ilvl w:val="0"/>
          <w:numId w:val="0"/>
        </w:numPr>
        <w:rPr>
          <w:b/>
          <w:sz w:val="28"/>
        </w:rPr>
      </w:pPr>
      <w:bookmarkStart w:id="163" w:name="_Toc445906799"/>
      <w:bookmarkStart w:id="164" w:name="_Toc445906957"/>
      <w:bookmarkStart w:id="165" w:name="_Toc445907113"/>
      <w:bookmarkStart w:id="166" w:name="_Toc445907269"/>
      <w:bookmarkStart w:id="167" w:name="_Toc445907427"/>
      <w:bookmarkStart w:id="168" w:name="_Toc445907583"/>
      <w:bookmarkStart w:id="169" w:name="_Toc445907739"/>
      <w:bookmarkStart w:id="170" w:name="_Toc445907895"/>
      <w:bookmarkStart w:id="171" w:name="_Toc445908051"/>
      <w:bookmarkStart w:id="172" w:name="_Toc441843082"/>
      <w:bookmarkStart w:id="173" w:name="_Toc445462116"/>
      <w:bookmarkStart w:id="174" w:name="_Toc445462990"/>
      <w:bookmarkStart w:id="175" w:name="_Toc485220669"/>
      <w:bookmarkStart w:id="176" w:name="_Toc530475253"/>
      <w:bookmarkEnd w:id="162"/>
      <w:bookmarkEnd w:id="163"/>
      <w:bookmarkEnd w:id="164"/>
      <w:bookmarkEnd w:id="165"/>
      <w:bookmarkEnd w:id="166"/>
      <w:bookmarkEnd w:id="167"/>
      <w:bookmarkEnd w:id="168"/>
      <w:bookmarkEnd w:id="169"/>
      <w:bookmarkEnd w:id="170"/>
      <w:bookmarkEnd w:id="171"/>
      <w:r w:rsidRPr="00936858">
        <w:rPr>
          <w:b/>
          <w:sz w:val="28"/>
        </w:rPr>
        <w:t>Exemptions from Energy Assessment</w:t>
      </w:r>
      <w:bookmarkEnd w:id="172"/>
      <w:r w:rsidRPr="00936858">
        <w:rPr>
          <w:b/>
          <w:sz w:val="28"/>
        </w:rPr>
        <w:t xml:space="preserve"> Requirement Only</w:t>
      </w:r>
      <w:bookmarkEnd w:id="173"/>
      <w:bookmarkEnd w:id="174"/>
      <w:bookmarkEnd w:id="175"/>
      <w:bookmarkEnd w:id="176"/>
    </w:p>
    <w:p w14:paraId="46CC2FF6" w14:textId="77777777" w:rsidR="00936858" w:rsidRDefault="00936858" w:rsidP="00936858">
      <w:r w:rsidRPr="00654050">
        <w:t xml:space="preserve">Buildings </w:t>
      </w:r>
      <w:r>
        <w:t>that have recently performed an energy assessment may be exempt from the energy assessment requirement if:</w:t>
      </w:r>
    </w:p>
    <w:p w14:paraId="2258D4A0" w14:textId="77777777" w:rsidR="00936858" w:rsidRPr="00DE4653" w:rsidRDefault="00936858" w:rsidP="00A5434E">
      <w:pPr>
        <w:pStyle w:val="NoSpacing"/>
        <w:numPr>
          <w:ilvl w:val="0"/>
          <w:numId w:val="4"/>
        </w:numPr>
        <w:rPr>
          <w:b/>
        </w:rPr>
      </w:pPr>
      <w:r w:rsidRPr="00DE4653">
        <w:rPr>
          <w:b/>
        </w:rPr>
        <w:t>The building received an equivalent energy assessment to what would be required by the energy ordinance</w:t>
      </w:r>
      <w:r>
        <w:rPr>
          <w:b/>
        </w:rPr>
        <w:t>.</w:t>
      </w:r>
    </w:p>
    <w:p w14:paraId="44E1B2F3" w14:textId="77777777" w:rsidR="00936858" w:rsidRDefault="00936858" w:rsidP="00A5434E">
      <w:pPr>
        <w:pStyle w:val="NoSpacing"/>
        <w:numPr>
          <w:ilvl w:val="1"/>
          <w:numId w:val="4"/>
        </w:numPr>
      </w:pPr>
      <w:r w:rsidRPr="00F57826">
        <w:t xml:space="preserve">The building must have received an energy assessment that met the ASHRAE Level I or Level II requirements based on square footage (Level I for &lt; 50,000 sf, and Level II for </w:t>
      </w:r>
      <w:r w:rsidRPr="0003491F">
        <w:t>&gt;</w:t>
      </w:r>
      <w:r>
        <w:t xml:space="preserve"> 50,000 sf);</w:t>
      </w:r>
      <w:r w:rsidRPr="00F57826">
        <w:t xml:space="preserve"> and</w:t>
      </w:r>
    </w:p>
    <w:p w14:paraId="219AF04B" w14:textId="77777777" w:rsidR="00936858" w:rsidRDefault="00936858" w:rsidP="00A5434E">
      <w:pPr>
        <w:pStyle w:val="NoSpacing"/>
        <w:numPr>
          <w:ilvl w:val="1"/>
          <w:numId w:val="4"/>
        </w:numPr>
      </w:pPr>
      <w:r>
        <w:t>T</w:t>
      </w:r>
      <w:r w:rsidRPr="00F57826">
        <w:t>he assessment must have been completed within ten years of the first deadline for energy assessments</w:t>
      </w:r>
      <w:r>
        <w:t>;</w:t>
      </w:r>
      <w:r w:rsidRPr="00F57826">
        <w:t xml:space="preserve"> and</w:t>
      </w:r>
    </w:p>
    <w:p w14:paraId="500122D2" w14:textId="597899F0" w:rsidR="00936858" w:rsidRDefault="00936858" w:rsidP="00A5434E">
      <w:pPr>
        <w:pStyle w:val="NoSpacing"/>
        <w:numPr>
          <w:ilvl w:val="1"/>
          <w:numId w:val="4"/>
        </w:numPr>
      </w:pPr>
      <w:r w:rsidRPr="00F57826">
        <w:t xml:space="preserve">The building owner must have implemented the cost-effective measures that were recommended (measures with a payback </w:t>
      </w:r>
      <w:r w:rsidR="002B733D">
        <w:t>less than or equal to</w:t>
      </w:r>
      <w:r w:rsidRPr="00F57826">
        <w:t xml:space="preserve"> five years) or can justify why implementation was infeasible for the building</w:t>
      </w:r>
      <w:r>
        <w:t>.</w:t>
      </w:r>
    </w:p>
    <w:p w14:paraId="56A1A742" w14:textId="77777777" w:rsidR="00936858" w:rsidRDefault="00936858" w:rsidP="00A5434E">
      <w:pPr>
        <w:pStyle w:val="NoSpacing"/>
        <w:numPr>
          <w:ilvl w:val="1"/>
          <w:numId w:val="4"/>
        </w:numPr>
      </w:pPr>
      <w:r w:rsidRPr="00DE4653">
        <w:rPr>
          <w:b/>
        </w:rPr>
        <w:lastRenderedPageBreak/>
        <w:t xml:space="preserve">Exemption </w:t>
      </w:r>
      <w:r>
        <w:rPr>
          <w:b/>
        </w:rPr>
        <w:t>p</w:t>
      </w:r>
      <w:r w:rsidRPr="00DE4653">
        <w:rPr>
          <w:b/>
        </w:rPr>
        <w:t>eriod</w:t>
      </w:r>
      <w:r w:rsidRPr="00F57826">
        <w:t>: Ten years or until the next ten-year compliance deadline, whichever is later; one-time exemption.</w:t>
      </w:r>
    </w:p>
    <w:p w14:paraId="129A6812" w14:textId="77777777" w:rsidR="00936858" w:rsidRDefault="00936858" w:rsidP="00A5434E">
      <w:pPr>
        <w:pStyle w:val="NoSpacing"/>
        <w:numPr>
          <w:ilvl w:val="1"/>
          <w:numId w:val="4"/>
        </w:numPr>
      </w:pPr>
      <w:r w:rsidRPr="009E2FCD">
        <w:rPr>
          <w:b/>
        </w:rPr>
        <w:t>Required for submittal</w:t>
      </w:r>
      <w:r w:rsidRPr="00F57826">
        <w:t xml:space="preserve">: </w:t>
      </w:r>
    </w:p>
    <w:p w14:paraId="48972CE4" w14:textId="77777777" w:rsidR="00936858" w:rsidRDefault="00936858" w:rsidP="00A5434E">
      <w:pPr>
        <w:pStyle w:val="NoSpacing"/>
        <w:numPr>
          <w:ilvl w:val="2"/>
          <w:numId w:val="4"/>
        </w:numPr>
      </w:pPr>
      <w:r w:rsidRPr="0003491F">
        <w:t>Assessment report or signed documentation from assessor with date of assessment and list of recommended measures including capital costs, rebates and incentives, and payback times.</w:t>
      </w:r>
    </w:p>
    <w:p w14:paraId="6AA20310" w14:textId="0188DCA2" w:rsidR="00936858" w:rsidRDefault="00936858" w:rsidP="00A5434E">
      <w:pPr>
        <w:pStyle w:val="NoSpacing"/>
        <w:numPr>
          <w:ilvl w:val="2"/>
          <w:numId w:val="4"/>
        </w:numPr>
      </w:pPr>
      <w:r w:rsidRPr="0003491F">
        <w:t>An itemized invoice or receipt or signed document from contractor identifying installed measures</w:t>
      </w:r>
    </w:p>
    <w:p w14:paraId="645C6DA7" w14:textId="77777777" w:rsidR="00936858" w:rsidRDefault="00936858" w:rsidP="00A5434E">
      <w:pPr>
        <w:pStyle w:val="NoSpacing"/>
        <w:numPr>
          <w:ilvl w:val="3"/>
          <w:numId w:val="4"/>
        </w:numPr>
      </w:pPr>
      <w:r w:rsidRPr="0003491F">
        <w:t xml:space="preserve">If </w:t>
      </w:r>
      <w:proofErr w:type="gramStart"/>
      <w:r w:rsidRPr="0003491F">
        <w:t>not</w:t>
      </w:r>
      <w:proofErr w:type="gramEnd"/>
      <w:r w:rsidRPr="0003491F">
        <w:t xml:space="preserve"> all </w:t>
      </w:r>
      <w:proofErr w:type="gramStart"/>
      <w:r w:rsidRPr="0003491F">
        <w:t>cost effective</w:t>
      </w:r>
      <w:proofErr w:type="gramEnd"/>
      <w:r w:rsidRPr="0003491F">
        <w:t xml:space="preserve"> measures were implemented, present documentation and reasoning to the reasons they were not implemented.</w:t>
      </w:r>
    </w:p>
    <w:p w14:paraId="48E78EA3" w14:textId="77777777" w:rsidR="00936858" w:rsidRDefault="00936858" w:rsidP="00936858">
      <w:pPr>
        <w:spacing w:after="0" w:line="240" w:lineRule="auto"/>
        <w:rPr>
          <w:b/>
          <w:i/>
          <w:sz w:val="21"/>
          <w:szCs w:val="21"/>
        </w:rPr>
      </w:pPr>
    </w:p>
    <w:tbl>
      <w:tblPr>
        <w:tblStyle w:val="TableGrid"/>
        <w:tblW w:w="0" w:type="auto"/>
        <w:tblInd w:w="108" w:type="dxa"/>
        <w:tblLook w:val="04A0" w:firstRow="1" w:lastRow="0" w:firstColumn="1" w:lastColumn="0" w:noHBand="0" w:noVBand="1"/>
      </w:tblPr>
      <w:tblGrid>
        <w:gridCol w:w="9242"/>
      </w:tblGrid>
      <w:tr w:rsidR="00936858" w:rsidRPr="00063DFB" w14:paraId="35A1EDC2" w14:textId="77777777" w:rsidTr="00F3525B">
        <w:tc>
          <w:tcPr>
            <w:tcW w:w="9468" w:type="dxa"/>
            <w:shd w:val="clear" w:color="auto" w:fill="F2F2F2" w:themeFill="background1" w:themeFillShade="F2"/>
          </w:tcPr>
          <w:p w14:paraId="7657DD6D" w14:textId="77777777" w:rsidR="00936858" w:rsidRPr="00B35AE9" w:rsidRDefault="00936858" w:rsidP="00F3525B">
            <w:pPr>
              <w:rPr>
                <w:b/>
                <w:i/>
                <w:szCs w:val="21"/>
              </w:rPr>
            </w:pPr>
            <w:r w:rsidRPr="00B35AE9">
              <w:rPr>
                <w:b/>
                <w:i/>
                <w:szCs w:val="21"/>
              </w:rPr>
              <w:t xml:space="preserve">Example: </w:t>
            </w:r>
            <w:r w:rsidRPr="00B35AE9">
              <w:rPr>
                <w:i/>
                <w:szCs w:val="21"/>
              </w:rPr>
              <w:t xml:space="preserve">If your 60,000 sq mixed use building received an audit from Xcel Energy in 2015, are you exempt from the energy assessment requirement? </w:t>
            </w:r>
            <w:r w:rsidRPr="005A7CD3">
              <w:rPr>
                <w:b/>
                <w:i/>
                <w:szCs w:val="21"/>
              </w:rPr>
              <w:t>Answer</w:t>
            </w:r>
            <w:r>
              <w:rPr>
                <w:b/>
                <w:i/>
                <w:szCs w:val="21"/>
              </w:rPr>
              <w:t>:</w:t>
            </w:r>
            <w:r w:rsidRPr="00B35AE9">
              <w:rPr>
                <w:i/>
                <w:szCs w:val="21"/>
              </w:rPr>
              <w:t xml:space="preserve"> NO, because the ordinance requires that buildings 50,000 sq or larger perform a Level II energy assessment and Xcel Energy’s audits do not meet ASHRAE Level II requirements.</w:t>
            </w:r>
            <w:r>
              <w:rPr>
                <w:i/>
                <w:szCs w:val="21"/>
              </w:rPr>
              <w:t xml:space="preserve"> However, you could contact the service provider that conducted the Xcel Level I assessment and </w:t>
            </w:r>
            <w:proofErr w:type="gramStart"/>
            <w:r>
              <w:rPr>
                <w:i/>
                <w:szCs w:val="21"/>
              </w:rPr>
              <w:t>contract with</w:t>
            </w:r>
            <w:proofErr w:type="gramEnd"/>
            <w:r>
              <w:rPr>
                <w:i/>
                <w:szCs w:val="21"/>
              </w:rPr>
              <w:t xml:space="preserve"> them to provide additional services to satisfy the requirements of the Level II</w:t>
            </w:r>
            <w:r w:rsidRPr="00B35AE9">
              <w:rPr>
                <w:i/>
                <w:szCs w:val="21"/>
              </w:rPr>
              <w:t xml:space="preserve"> </w:t>
            </w:r>
            <w:r>
              <w:rPr>
                <w:i/>
                <w:szCs w:val="21"/>
              </w:rPr>
              <w:t>assessment.</w:t>
            </w:r>
          </w:p>
          <w:p w14:paraId="23D6931D" w14:textId="77777777" w:rsidR="00936858" w:rsidRPr="00B35AE9" w:rsidRDefault="00936858" w:rsidP="00F3525B">
            <w:pPr>
              <w:pStyle w:val="NoSpacing"/>
              <w:rPr>
                <w:sz w:val="24"/>
              </w:rPr>
            </w:pPr>
          </w:p>
          <w:p w14:paraId="79D68464" w14:textId="77777777" w:rsidR="00936858" w:rsidRDefault="00936858" w:rsidP="00F3525B">
            <w:pPr>
              <w:rPr>
                <w:b/>
                <w:i/>
                <w:sz w:val="21"/>
                <w:szCs w:val="21"/>
              </w:rPr>
            </w:pPr>
            <w:r w:rsidRPr="00B35AE9">
              <w:rPr>
                <w:b/>
                <w:i/>
                <w:szCs w:val="21"/>
              </w:rPr>
              <w:t xml:space="preserve">Example: </w:t>
            </w:r>
            <w:r w:rsidRPr="00B35AE9">
              <w:rPr>
                <w:i/>
                <w:szCs w:val="21"/>
              </w:rPr>
              <w:t xml:space="preserve">You performed a previous equivalent energy assessment two years ago and have a copy of the </w:t>
            </w:r>
            <w:proofErr w:type="gramStart"/>
            <w:r w:rsidRPr="00B35AE9">
              <w:rPr>
                <w:i/>
                <w:szCs w:val="21"/>
              </w:rPr>
              <w:t>study, but</w:t>
            </w:r>
            <w:proofErr w:type="gramEnd"/>
            <w:r w:rsidRPr="00B35AE9">
              <w:rPr>
                <w:i/>
                <w:szCs w:val="21"/>
              </w:rPr>
              <w:t xml:space="preserve"> can’t find documentation from the firm that installed the measures, and they have since gone out of business. Do you qualify for an energy assessment exemption? </w:t>
            </w:r>
            <w:r w:rsidRPr="005A7CD3">
              <w:rPr>
                <w:b/>
                <w:i/>
                <w:szCs w:val="21"/>
              </w:rPr>
              <w:t>Answer</w:t>
            </w:r>
            <w:r>
              <w:rPr>
                <w:b/>
                <w:i/>
                <w:szCs w:val="21"/>
              </w:rPr>
              <w:t>:</w:t>
            </w:r>
            <w:r w:rsidRPr="00B35AE9">
              <w:rPr>
                <w:i/>
                <w:szCs w:val="21"/>
              </w:rPr>
              <w:t xml:space="preserve"> YES, </w:t>
            </w:r>
            <w:proofErr w:type="gramStart"/>
            <w:r w:rsidRPr="00B35AE9">
              <w:rPr>
                <w:i/>
                <w:szCs w:val="21"/>
              </w:rPr>
              <w:t>as long as</w:t>
            </w:r>
            <w:proofErr w:type="gramEnd"/>
            <w:r w:rsidRPr="00B35AE9">
              <w:rPr>
                <w:i/>
                <w:szCs w:val="21"/>
              </w:rPr>
              <w:t xml:space="preserve"> you contact PACE partners and they provide the free walkthrough confirming the installation of all the measures with payback periods of less than or equal to five years. You will need to submit the PACE documentation to qualify.</w:t>
            </w:r>
          </w:p>
        </w:tc>
      </w:tr>
    </w:tbl>
    <w:p w14:paraId="33EA6849" w14:textId="5D2253BE" w:rsidR="005A4851" w:rsidRDefault="005A4851" w:rsidP="005A4851"/>
    <w:p w14:paraId="35C06E56" w14:textId="33D16E4F" w:rsidR="00936858" w:rsidRPr="00936858" w:rsidRDefault="00936858" w:rsidP="00936858">
      <w:pPr>
        <w:pStyle w:val="Heading1"/>
        <w:numPr>
          <w:ilvl w:val="0"/>
          <w:numId w:val="0"/>
        </w:numPr>
        <w:rPr>
          <w:b/>
          <w:sz w:val="28"/>
        </w:rPr>
      </w:pPr>
      <w:bookmarkStart w:id="177" w:name="_Toc530475254"/>
      <w:bookmarkStart w:id="178" w:name="_Toc441843087"/>
      <w:r w:rsidRPr="00936858">
        <w:rPr>
          <w:b/>
          <w:sz w:val="28"/>
        </w:rPr>
        <w:t xml:space="preserve">Exemptions from </w:t>
      </w:r>
      <w:proofErr w:type="spellStart"/>
      <w:r>
        <w:rPr>
          <w:b/>
          <w:sz w:val="28"/>
        </w:rPr>
        <w:t>Retrocommissioning</w:t>
      </w:r>
      <w:proofErr w:type="spellEnd"/>
      <w:r w:rsidRPr="00936858">
        <w:rPr>
          <w:b/>
          <w:sz w:val="28"/>
        </w:rPr>
        <w:t xml:space="preserve"> Requirement Only</w:t>
      </w:r>
      <w:bookmarkEnd w:id="177"/>
    </w:p>
    <w:p w14:paraId="3255B8DA" w14:textId="00656CDD" w:rsidR="00936858" w:rsidRPr="008C45FB" w:rsidRDefault="00936858" w:rsidP="00936858">
      <w:r>
        <w:t xml:space="preserve">Buildings </w:t>
      </w:r>
      <w:proofErr w:type="gramStart"/>
      <w:r>
        <w:t>were</w:t>
      </w:r>
      <w:proofErr w:type="gramEnd"/>
      <w:r>
        <w:t xml:space="preserve"> there are no opportunities for </w:t>
      </w:r>
      <w:proofErr w:type="spellStart"/>
      <w:r>
        <w:t>retrocommissioning</w:t>
      </w:r>
      <w:proofErr w:type="spellEnd"/>
      <w:r>
        <w:t xml:space="preserve"> may be exempt from the </w:t>
      </w:r>
      <w:proofErr w:type="spellStart"/>
      <w:r>
        <w:t>retrocommissioning</w:t>
      </w:r>
      <w:proofErr w:type="spellEnd"/>
      <w:r>
        <w:t xml:space="preserve"> requirement if:</w:t>
      </w:r>
    </w:p>
    <w:p w14:paraId="1DA15458" w14:textId="77777777" w:rsidR="00936858" w:rsidRPr="00DE4653" w:rsidRDefault="00936858" w:rsidP="00A5434E">
      <w:pPr>
        <w:pStyle w:val="NoSpacing"/>
        <w:numPr>
          <w:ilvl w:val="0"/>
          <w:numId w:val="8"/>
        </w:numPr>
        <w:rPr>
          <w:b/>
        </w:rPr>
      </w:pPr>
      <w:r w:rsidRPr="00DE4653">
        <w:rPr>
          <w:b/>
        </w:rPr>
        <w:t>During the preliminary energy assessment,</w:t>
      </w:r>
      <w:r>
        <w:rPr>
          <w:b/>
        </w:rPr>
        <w:t xml:space="preserve"> or when the owner applied for the local utility’s RCx programs,</w:t>
      </w:r>
      <w:r w:rsidRPr="00DE4653">
        <w:rPr>
          <w:b/>
        </w:rPr>
        <w:t xml:space="preserve"> the service provider </w:t>
      </w:r>
      <w:r>
        <w:rPr>
          <w:b/>
        </w:rPr>
        <w:t xml:space="preserve">or utility </w:t>
      </w:r>
      <w:r w:rsidRPr="00DE4653">
        <w:rPr>
          <w:b/>
        </w:rPr>
        <w:t xml:space="preserve">issued a recommendation that </w:t>
      </w:r>
      <w:proofErr w:type="spellStart"/>
      <w:r w:rsidRPr="00DE4653">
        <w:rPr>
          <w:b/>
        </w:rPr>
        <w:t>retrocommissioning</w:t>
      </w:r>
      <w:proofErr w:type="spellEnd"/>
      <w:r w:rsidRPr="00DE4653">
        <w:rPr>
          <w:b/>
        </w:rPr>
        <w:t xml:space="preserve"> is unnecessary for the building.  </w:t>
      </w:r>
    </w:p>
    <w:p w14:paraId="512D82F1" w14:textId="77777777" w:rsidR="00936858" w:rsidRDefault="00936858" w:rsidP="00A5434E">
      <w:pPr>
        <w:pStyle w:val="NoSpacing"/>
        <w:numPr>
          <w:ilvl w:val="1"/>
          <w:numId w:val="8"/>
        </w:numPr>
      </w:pPr>
      <w:r w:rsidRPr="0071003F">
        <w:t>Examples</w:t>
      </w:r>
      <w:r>
        <w:t xml:space="preserve"> of why a service provider would </w:t>
      </w:r>
      <w:proofErr w:type="gramStart"/>
      <w:r>
        <w:t>make a recommendation that</w:t>
      </w:r>
      <w:proofErr w:type="gramEnd"/>
      <w:r>
        <w:t xml:space="preserve"> RCx is not necessary for </w:t>
      </w:r>
      <w:proofErr w:type="gramStart"/>
      <w:r>
        <w:t>a building</w:t>
      </w:r>
      <w:proofErr w:type="gramEnd"/>
      <w:r>
        <w:t>:</w:t>
      </w:r>
      <w:r w:rsidRPr="0071003F">
        <w:t xml:space="preserve"> No control system, no cost-effective measures to add controls, or all schedules, maintenance, and efficient control strategies are already in place. </w:t>
      </w:r>
    </w:p>
    <w:p w14:paraId="5A05429F" w14:textId="26CBEBF6" w:rsidR="00936858" w:rsidRDefault="00936858" w:rsidP="00A5434E">
      <w:pPr>
        <w:pStyle w:val="NoSpacing"/>
        <w:numPr>
          <w:ilvl w:val="1"/>
          <w:numId w:val="8"/>
        </w:numPr>
      </w:pPr>
      <w:r w:rsidRPr="00DE4653">
        <w:rPr>
          <w:b/>
        </w:rPr>
        <w:t>Exemption Period</w:t>
      </w:r>
      <w:r w:rsidRPr="0071003F">
        <w:t xml:space="preserve">: </w:t>
      </w:r>
      <w:r>
        <w:t>Ten years or until the next RCx compliance deadline, whichever is later;</w:t>
      </w:r>
      <w:r w:rsidRPr="0071003F">
        <w:t xml:space="preserve"> re-apply </w:t>
      </w:r>
      <w:r>
        <w:t xml:space="preserve">every ten years </w:t>
      </w:r>
      <w:r w:rsidR="00A5434E">
        <w:t xml:space="preserve">at least </w:t>
      </w:r>
      <w:r>
        <w:t>6</w:t>
      </w:r>
      <w:r w:rsidRPr="0071003F">
        <w:t xml:space="preserve">0 days prior to requirement deadline. </w:t>
      </w:r>
    </w:p>
    <w:p w14:paraId="16D9BD42" w14:textId="77777777" w:rsidR="00936858" w:rsidRDefault="00936858" w:rsidP="00A5434E">
      <w:pPr>
        <w:pStyle w:val="NoSpacing"/>
        <w:numPr>
          <w:ilvl w:val="1"/>
          <w:numId w:val="8"/>
        </w:numPr>
      </w:pPr>
      <w:r w:rsidRPr="00E9532A">
        <w:rPr>
          <w:b/>
        </w:rPr>
        <w:t>Required for submittal</w:t>
      </w:r>
      <w:r w:rsidRPr="0071003F">
        <w:t xml:space="preserve">: </w:t>
      </w:r>
    </w:p>
    <w:p w14:paraId="3A3E4B3E" w14:textId="42979224" w:rsidR="00936858" w:rsidRDefault="00936858" w:rsidP="00A5434E">
      <w:pPr>
        <w:pStyle w:val="NoSpacing"/>
        <w:numPr>
          <w:ilvl w:val="2"/>
          <w:numId w:val="8"/>
        </w:numPr>
      </w:pPr>
      <w:r w:rsidRPr="0071003F">
        <w:t xml:space="preserve">Statement in writing from a qualified </w:t>
      </w:r>
      <w:r>
        <w:t>service provider</w:t>
      </w:r>
      <w:r w:rsidR="00A5434E">
        <w:t xml:space="preserve"> or utility</w:t>
      </w:r>
      <w:r w:rsidRPr="0071003F">
        <w:t xml:space="preserve"> that a preliminary RCx potential analysis has been performed and that there are no current cost-effective measures so the building would not benefit from an RCx effort. </w:t>
      </w:r>
    </w:p>
    <w:p w14:paraId="02D96132" w14:textId="77777777" w:rsidR="00936858" w:rsidRDefault="00936858" w:rsidP="00A5434E">
      <w:pPr>
        <w:pStyle w:val="NoSpacing"/>
        <w:numPr>
          <w:ilvl w:val="2"/>
          <w:numId w:val="8"/>
        </w:numPr>
      </w:pPr>
      <w:r w:rsidRPr="0071003F">
        <w:t>The statement must be accompanied by a list of possible measures that were checked, and the results of those checks leading to the conclusion, including any proof of the conclusions including notes, photos, drawings, or calculations.</w:t>
      </w:r>
    </w:p>
    <w:p w14:paraId="7752BF67" w14:textId="77777777" w:rsidR="00936858" w:rsidRPr="00936858" w:rsidRDefault="00936858" w:rsidP="00936858">
      <w:pPr>
        <w:pStyle w:val="Heading1"/>
        <w:numPr>
          <w:ilvl w:val="0"/>
          <w:numId w:val="0"/>
        </w:numPr>
        <w:rPr>
          <w:b/>
          <w:sz w:val="28"/>
        </w:rPr>
      </w:pPr>
      <w:bookmarkStart w:id="179" w:name="_Toc445462118"/>
      <w:bookmarkStart w:id="180" w:name="_Toc445462992"/>
      <w:bookmarkStart w:id="181" w:name="_Toc485220672"/>
      <w:bookmarkStart w:id="182" w:name="_Toc530475255"/>
      <w:bookmarkEnd w:id="178"/>
      <w:r w:rsidRPr="00936858">
        <w:rPr>
          <w:b/>
          <w:sz w:val="28"/>
        </w:rPr>
        <w:lastRenderedPageBreak/>
        <w:t>Exemptions from Public Disclosure</w:t>
      </w:r>
      <w:bookmarkEnd w:id="179"/>
      <w:bookmarkEnd w:id="180"/>
      <w:bookmarkEnd w:id="181"/>
      <w:bookmarkEnd w:id="182"/>
    </w:p>
    <w:p w14:paraId="3C85BED7" w14:textId="77777777" w:rsidR="00936858" w:rsidRDefault="00936858" w:rsidP="00936858">
      <w:pPr>
        <w:widowControl w:val="0"/>
        <w:spacing w:before="120"/>
      </w:pPr>
      <w:r w:rsidRPr="006106CD">
        <w:rPr>
          <w:szCs w:val="24"/>
        </w:rPr>
        <w:t xml:space="preserve">As a city government, all information in its possession is public and subject to the Colorado Open Records Act (CORA). </w:t>
      </w:r>
      <w:r w:rsidRPr="006106CD">
        <w:t>Any building owner that wishes data to be withheld from public disclosure</w:t>
      </w:r>
      <w:r>
        <w:t xml:space="preserve"> </w:t>
      </w:r>
      <w:r w:rsidRPr="006106CD">
        <w:t xml:space="preserve">for CORA purposes, both during the initial grace period and after, must submit a document detailing why this disclosure would cause substantial harm to their competitive position. </w:t>
      </w:r>
      <w:r>
        <w:t>Exemptions will only be granted if they meet the requirements of a CORA exemption, which are t</w:t>
      </w:r>
      <w:r w:rsidRPr="005A7CD3">
        <w:t>rade secrets, privileged information, and confidential data</w:t>
      </w:r>
      <w:r>
        <w:t>.</w:t>
      </w:r>
      <w:r w:rsidRPr="005A7CD3">
        <w:t xml:space="preserve"> </w:t>
      </w:r>
      <w:r w:rsidRPr="006106CD">
        <w:t xml:space="preserve">Concern that potential tenants might shy away from renting or buying buildings with poor energy performance will NOT qualify for this exemption.  </w:t>
      </w:r>
    </w:p>
    <w:p w14:paraId="71F711A6" w14:textId="77777777" w:rsidR="00936858" w:rsidRPr="009E2FCD" w:rsidRDefault="00936858" w:rsidP="00936858">
      <w:r w:rsidRPr="009E2FCD">
        <w:t xml:space="preserve">If the submission is sufficient and exemption is approved, the city will withhold the information from </w:t>
      </w:r>
      <w:r>
        <w:t xml:space="preserve">public disclosure and from </w:t>
      </w:r>
      <w:r w:rsidRPr="009E2FCD">
        <w:t>any CORA request.</w:t>
      </w:r>
      <w:r>
        <w:rPr>
          <w:rStyle w:val="FootnoteReference"/>
        </w:rPr>
        <w:footnoteReference w:id="4"/>
      </w:r>
      <w:r w:rsidRPr="009E2FCD">
        <w:t xml:space="preserve"> </w:t>
      </w:r>
    </w:p>
    <w:p w14:paraId="2E6CFB73" w14:textId="77777777" w:rsidR="00936858" w:rsidRDefault="00936858" w:rsidP="00A5434E">
      <w:pPr>
        <w:pStyle w:val="NoSpacing"/>
        <w:numPr>
          <w:ilvl w:val="0"/>
          <w:numId w:val="7"/>
        </w:numPr>
      </w:pPr>
      <w:r w:rsidRPr="0071003F">
        <w:t>Building information includes trade secrets, privileged or confidential information.</w:t>
      </w:r>
      <w:r w:rsidRPr="0071003F">
        <w:rPr>
          <w:rStyle w:val="FootnoteReference"/>
          <w:b/>
        </w:rPr>
        <w:footnoteReference w:id="5"/>
      </w:r>
      <w:r w:rsidRPr="0071003F">
        <w:t xml:space="preserve"> </w:t>
      </w:r>
    </w:p>
    <w:p w14:paraId="25F74538" w14:textId="77777777" w:rsidR="00936858" w:rsidRDefault="00936858" w:rsidP="00A5434E">
      <w:pPr>
        <w:pStyle w:val="NoSpacing"/>
        <w:numPr>
          <w:ilvl w:val="1"/>
          <w:numId w:val="7"/>
        </w:numPr>
      </w:pPr>
      <w:r w:rsidRPr="009E2FCD">
        <w:rPr>
          <w:b/>
        </w:rPr>
        <w:t>Exemption period</w:t>
      </w:r>
      <w:r>
        <w:t>: One year, re-apply annually 60 days or more prior to requirement deadline.</w:t>
      </w:r>
    </w:p>
    <w:p w14:paraId="1A27320A" w14:textId="77777777" w:rsidR="00936858" w:rsidRDefault="00936858" w:rsidP="00A5434E">
      <w:pPr>
        <w:pStyle w:val="NoSpacing"/>
        <w:numPr>
          <w:ilvl w:val="1"/>
          <w:numId w:val="7"/>
        </w:numPr>
      </w:pPr>
      <w:r w:rsidRPr="009E2FCD">
        <w:rPr>
          <w:b/>
        </w:rPr>
        <w:t>Required for submittal</w:t>
      </w:r>
      <w:r>
        <w:t>:</w:t>
      </w:r>
    </w:p>
    <w:p w14:paraId="6CB7620D" w14:textId="77777777" w:rsidR="00936858" w:rsidRDefault="00936858" w:rsidP="00A5434E">
      <w:pPr>
        <w:pStyle w:val="NoSpacing"/>
        <w:numPr>
          <w:ilvl w:val="2"/>
          <w:numId w:val="7"/>
        </w:numPr>
      </w:pPr>
      <w:r w:rsidRPr="00E400CF">
        <w:t xml:space="preserve">A statement that includes the </w:t>
      </w:r>
      <w:proofErr w:type="gramStart"/>
      <w:r w:rsidRPr="00E400CF">
        <w:t>manner in which</w:t>
      </w:r>
      <w:proofErr w:type="gramEnd"/>
      <w:r w:rsidRPr="00E400CF">
        <w:t xml:space="preserve"> public disclosure would cause substantial harm to the owner’s trade secrets, privileged or confidential commercial information. </w:t>
      </w:r>
    </w:p>
    <w:p w14:paraId="5239844F" w14:textId="77777777" w:rsidR="00936858" w:rsidRDefault="00936858" w:rsidP="00936858">
      <w:pPr>
        <w:pStyle w:val="NoSpacing"/>
        <w:ind w:left="360"/>
      </w:pPr>
    </w:p>
    <w:tbl>
      <w:tblPr>
        <w:tblStyle w:val="TableGrid"/>
        <w:tblW w:w="0" w:type="auto"/>
        <w:tblInd w:w="108" w:type="dxa"/>
        <w:tblLook w:val="04A0" w:firstRow="1" w:lastRow="0" w:firstColumn="1" w:lastColumn="0" w:noHBand="0" w:noVBand="1"/>
      </w:tblPr>
      <w:tblGrid>
        <w:gridCol w:w="9242"/>
      </w:tblGrid>
      <w:tr w:rsidR="00936858" w14:paraId="3AE2F7C1" w14:textId="77777777" w:rsidTr="00F3525B">
        <w:tc>
          <w:tcPr>
            <w:tcW w:w="9468" w:type="dxa"/>
            <w:shd w:val="clear" w:color="auto" w:fill="F2F2F2" w:themeFill="background1" w:themeFillShade="F2"/>
          </w:tcPr>
          <w:p w14:paraId="0395A0A5" w14:textId="77777777" w:rsidR="00936858" w:rsidRPr="00B35AE9" w:rsidRDefault="00936858" w:rsidP="00F3525B">
            <w:pPr>
              <w:keepNext/>
              <w:keepLines/>
              <w:rPr>
                <w:i/>
                <w:szCs w:val="21"/>
              </w:rPr>
            </w:pPr>
            <w:r w:rsidRPr="00B35AE9">
              <w:rPr>
                <w:b/>
                <w:i/>
                <w:szCs w:val="21"/>
              </w:rPr>
              <w:t>Example</w:t>
            </w:r>
            <w:r w:rsidRPr="00B35AE9">
              <w:rPr>
                <w:i/>
                <w:szCs w:val="21"/>
              </w:rPr>
              <w:t>: You plan to complete the rating and reporting requirement, but don’t want your data made public bec</w:t>
            </w:r>
            <w:r>
              <w:rPr>
                <w:i/>
                <w:szCs w:val="21"/>
              </w:rPr>
              <w:t>ause your building is currently inefficient and you don’t want this to deter potential tenants or buyers</w:t>
            </w:r>
            <w:r w:rsidRPr="00B35AE9">
              <w:rPr>
                <w:i/>
                <w:szCs w:val="21"/>
              </w:rPr>
              <w:t xml:space="preserve">. Do you qualify for a public disclosure exemption? </w:t>
            </w:r>
            <w:r w:rsidRPr="005A7CD3">
              <w:rPr>
                <w:b/>
                <w:i/>
                <w:szCs w:val="21"/>
              </w:rPr>
              <w:t>Answer</w:t>
            </w:r>
            <w:r>
              <w:rPr>
                <w:b/>
                <w:i/>
                <w:szCs w:val="21"/>
              </w:rPr>
              <w:t>:</w:t>
            </w:r>
            <w:r w:rsidRPr="00B35AE9">
              <w:rPr>
                <w:i/>
                <w:szCs w:val="21"/>
              </w:rPr>
              <w:t xml:space="preserve"> NO, inefficient energy usage alone will not be considered confidential commercial information. </w:t>
            </w:r>
          </w:p>
          <w:p w14:paraId="1E409A88" w14:textId="77777777" w:rsidR="00936858" w:rsidRDefault="00936858" w:rsidP="00F3525B">
            <w:pPr>
              <w:keepNext/>
              <w:keepLines/>
              <w:rPr>
                <w:i/>
                <w:szCs w:val="21"/>
              </w:rPr>
            </w:pPr>
          </w:p>
          <w:p w14:paraId="2F751CEA" w14:textId="41AB5BF4" w:rsidR="00936858" w:rsidRDefault="00936858" w:rsidP="00F3525B">
            <w:pPr>
              <w:keepNext/>
              <w:keepLines/>
              <w:rPr>
                <w:i/>
              </w:rPr>
            </w:pPr>
            <w:r w:rsidRPr="00B35AE9">
              <w:rPr>
                <w:b/>
                <w:i/>
                <w:szCs w:val="21"/>
              </w:rPr>
              <w:t>Example</w:t>
            </w:r>
            <w:r>
              <w:rPr>
                <w:b/>
                <w:i/>
                <w:szCs w:val="21"/>
              </w:rPr>
              <w:t xml:space="preserve">: </w:t>
            </w:r>
            <w:r>
              <w:rPr>
                <w:i/>
                <w:szCs w:val="21"/>
              </w:rPr>
              <w:t xml:space="preserve">You own a manufacturing facility and are rating and reporting using the Energy Tracking Tool and a metric of energy use per unit of production. However, you do not want your total annual production numbers publicly disclosed as it is considered proprietary information. </w:t>
            </w:r>
            <w:r w:rsidRPr="00B35AE9">
              <w:rPr>
                <w:i/>
                <w:szCs w:val="21"/>
              </w:rPr>
              <w:t>Do you qualify for a public disclo</w:t>
            </w:r>
            <w:r>
              <w:rPr>
                <w:i/>
                <w:szCs w:val="21"/>
              </w:rPr>
              <w:t xml:space="preserve">sure exemption? </w:t>
            </w:r>
            <w:r w:rsidRPr="005A7CD3">
              <w:rPr>
                <w:b/>
                <w:i/>
                <w:szCs w:val="21"/>
              </w:rPr>
              <w:t>Answer</w:t>
            </w:r>
            <w:r>
              <w:rPr>
                <w:i/>
                <w:szCs w:val="21"/>
              </w:rPr>
              <w:t xml:space="preserve">: YES, if you can </w:t>
            </w:r>
            <w:r w:rsidRPr="009E2FCD">
              <w:rPr>
                <w:i/>
              </w:rPr>
              <w:t>prove</w:t>
            </w:r>
            <w:r>
              <w:rPr>
                <w:i/>
              </w:rPr>
              <w:t xml:space="preserve"> that disclosing production data</w:t>
            </w:r>
            <w:r w:rsidRPr="009E2FCD">
              <w:rPr>
                <w:i/>
              </w:rPr>
              <w:t xml:space="preserve"> would threaten </w:t>
            </w:r>
            <w:r>
              <w:rPr>
                <w:i/>
              </w:rPr>
              <w:t>your</w:t>
            </w:r>
            <w:r w:rsidRPr="009E2FCD">
              <w:rPr>
                <w:i/>
              </w:rPr>
              <w:t xml:space="preserve"> competitive advantage or trade secrets</w:t>
            </w:r>
            <w:r>
              <w:rPr>
                <w:i/>
              </w:rPr>
              <w:t xml:space="preserve"> of your business. </w:t>
            </w:r>
            <w:r w:rsidRPr="009E2FCD">
              <w:rPr>
                <w:i/>
              </w:rPr>
              <w:t xml:space="preserve">If approved, the city would publicly disclose EITHER the energy use per unit of production OR the total energy use, but not both (which would allow someone to calculate the total units produced in the reporting year). However, the production information would still be submitted to the city for compliance purposes as part of the energy report. The </w:t>
            </w:r>
            <w:proofErr w:type="gramStart"/>
            <w:r w:rsidRPr="009E2FCD">
              <w:rPr>
                <w:i/>
              </w:rPr>
              <w:t>exemption</w:t>
            </w:r>
            <w:proofErr w:type="gramEnd"/>
            <w:r w:rsidRPr="009E2FCD">
              <w:rPr>
                <w:i/>
              </w:rPr>
              <w:t xml:space="preserve"> would only ensure that the confidential information would not be publicly reported.</w:t>
            </w:r>
          </w:p>
        </w:tc>
      </w:tr>
    </w:tbl>
    <w:p w14:paraId="30476A2D" w14:textId="77777777" w:rsidR="00936858" w:rsidRDefault="00936858" w:rsidP="00936858">
      <w:pPr>
        <w:pStyle w:val="NoSpacing"/>
      </w:pPr>
    </w:p>
    <w:p w14:paraId="28AAC07F" w14:textId="77777777" w:rsidR="00936858" w:rsidRDefault="00936858" w:rsidP="00936858">
      <w:pPr>
        <w:pStyle w:val="Heading1"/>
        <w:numPr>
          <w:ilvl w:val="0"/>
          <w:numId w:val="0"/>
        </w:numPr>
        <w:rPr>
          <w:b/>
        </w:rPr>
      </w:pPr>
      <w:bookmarkStart w:id="183" w:name="_Toc530475256"/>
      <w:r w:rsidRPr="00936858">
        <w:rPr>
          <w:b/>
          <w:sz w:val="28"/>
        </w:rPr>
        <w:t>Other Exemptions</w:t>
      </w:r>
      <w:bookmarkEnd w:id="183"/>
      <w:r w:rsidRPr="00936858">
        <w:rPr>
          <w:b/>
          <w:sz w:val="28"/>
        </w:rPr>
        <w:t xml:space="preserve"> </w:t>
      </w:r>
    </w:p>
    <w:p w14:paraId="351712C5" w14:textId="70A94A65" w:rsidR="00A5434E" w:rsidRDefault="00936858" w:rsidP="00936858">
      <w:r>
        <w:t xml:space="preserve">There are several possibilities for an exemption which are not listed as a separate item on the Exemption Request Form. This section on the form is for any item not covered elsewhere in the form. Also, if an owner thinks they deserve an exemption for one of the other categories, but can’t meet that specific requirement, they can try for an exemption here. </w:t>
      </w:r>
      <w:r w:rsidR="00EF4C65">
        <w:t>For example, if a building owner implemented lighting upgrades to meet the Outdoor Lighting Ordinance and the remaining exterior lighting opportunities are not cost-effective, if the owner can demonstrate with a lighting professional t</w:t>
      </w:r>
      <w:r w:rsidR="00EF4C65" w:rsidRPr="00EF4C65">
        <w:t xml:space="preserve">hat </w:t>
      </w:r>
      <w:r w:rsidR="00EF4C65">
        <w:lastRenderedPageBreak/>
        <w:t xml:space="preserve">these </w:t>
      </w:r>
      <w:r w:rsidR="00EF4C65" w:rsidRPr="00EF4C65">
        <w:t>certain requirements cannot be completed in a cost-effective manner</w:t>
      </w:r>
      <w:r w:rsidR="00EF4C65">
        <w:t xml:space="preserve">, the building may be exempt from the exterior lighting requirements of the ordinance.  </w:t>
      </w:r>
    </w:p>
    <w:p w14:paraId="2997FAB5" w14:textId="7295AFF9" w:rsidR="00E06DFA" w:rsidRDefault="00E06DFA" w:rsidP="00936858">
      <w:pPr>
        <w:rPr>
          <w:rFonts w:asciiTheme="majorHAnsi" w:eastAsiaTheme="majorEastAsia" w:hAnsiTheme="majorHAnsi" w:cstheme="majorBidi"/>
          <w:b/>
          <w:color w:val="004C4C" w:themeColor="accent1" w:themeShade="BF"/>
          <w:sz w:val="28"/>
          <w:szCs w:val="32"/>
        </w:rPr>
      </w:pPr>
      <w:r w:rsidRPr="00E06DFA">
        <w:rPr>
          <w:rFonts w:asciiTheme="majorHAnsi" w:eastAsiaTheme="majorEastAsia" w:hAnsiTheme="majorHAnsi" w:cstheme="majorBidi"/>
          <w:b/>
          <w:color w:val="004C4C" w:themeColor="accent1" w:themeShade="BF"/>
          <w:sz w:val="28"/>
          <w:szCs w:val="32"/>
        </w:rPr>
        <w:t>Resources</w:t>
      </w:r>
    </w:p>
    <w:p w14:paraId="738CD9EA" w14:textId="6C371BD8" w:rsidR="00E06DFA" w:rsidRDefault="00E06DFA" w:rsidP="00936858">
      <w:r>
        <w:t xml:space="preserve">For more information on Exemptions, please see the Boulder Revised Code, Ch. 10-7.7: </w:t>
      </w:r>
      <w:hyperlink r:id="rId16" w:history="1">
        <w:r w:rsidRPr="00A45A95">
          <w:rPr>
            <w:rStyle w:val="Hyperlink"/>
          </w:rPr>
          <w:t>https://library.municode.com/co/boulder/codes/municipal_code?nodeId=TIT10ST_CH7.7COINENEF</w:t>
        </w:r>
      </w:hyperlink>
    </w:p>
    <w:p w14:paraId="3A223EA2" w14:textId="4E02A5CD" w:rsidR="00E06DFA" w:rsidRDefault="00E06DFA" w:rsidP="00936858">
      <w:r>
        <w:t xml:space="preserve">The Exemption Request Form is Available on the website </w:t>
      </w:r>
      <w:proofErr w:type="gramStart"/>
      <w:r w:rsidR="00E4257B">
        <w:t>at :</w:t>
      </w:r>
      <w:proofErr w:type="gramEnd"/>
      <w:r w:rsidR="00E4257B">
        <w:t xml:space="preserve"> </w:t>
      </w:r>
    </w:p>
    <w:p w14:paraId="569F8C3A" w14:textId="12B718B1" w:rsidR="00E4257B" w:rsidRDefault="004D7605" w:rsidP="00936858">
      <w:hyperlink r:id="rId17" w:history="1">
        <w:r w:rsidRPr="00453F3D">
          <w:rPr>
            <w:rStyle w:val="Hyperlink"/>
          </w:rPr>
          <w:t>https://fs24.formsite.com/YLmyr1/q6ywesm8af/index</w:t>
        </w:r>
      </w:hyperlink>
      <w:r>
        <w:t xml:space="preserve"> </w:t>
      </w:r>
      <w:r w:rsidR="009079E5">
        <w:t xml:space="preserve"> </w:t>
      </w:r>
      <w:bookmarkEnd w:id="0"/>
      <w:bookmarkEnd w:id="1"/>
    </w:p>
    <w:sectPr w:rsidR="00E4257B" w:rsidSect="00EF54FC">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BD17D" w14:textId="77777777" w:rsidR="004D68BA" w:rsidRDefault="004D68BA" w:rsidP="00105A96">
      <w:pPr>
        <w:spacing w:after="0" w:line="240" w:lineRule="auto"/>
      </w:pPr>
      <w:r>
        <w:separator/>
      </w:r>
    </w:p>
  </w:endnote>
  <w:endnote w:type="continuationSeparator" w:id="0">
    <w:p w14:paraId="67860DA5" w14:textId="77777777" w:rsidR="004D68BA" w:rsidRDefault="004D68BA" w:rsidP="00105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00FA" w14:textId="77777777" w:rsidR="004D7605" w:rsidRDefault="004D7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544312"/>
      <w:docPartObj>
        <w:docPartGallery w:val="Page Numbers (Bottom of Page)"/>
        <w:docPartUnique/>
      </w:docPartObj>
    </w:sdtPr>
    <w:sdtEndPr>
      <w:rPr>
        <w:noProof/>
      </w:rPr>
    </w:sdtEndPr>
    <w:sdtContent>
      <w:p w14:paraId="6E165762" w14:textId="62DD81EA" w:rsidR="00EF54FC" w:rsidRDefault="00EF54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F146CA" w14:textId="40BAB01B" w:rsidR="004B304B" w:rsidRDefault="004D7605">
    <w:pPr>
      <w:pStyle w:val="Footer"/>
    </w:pPr>
    <w:r>
      <w:t>May</w:t>
    </w:r>
    <w:r w:rsidR="009D19A5">
      <w:t xml:space="preserve"> 202</w:t>
    </w:r>
    <w: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215328"/>
      <w:docPartObj>
        <w:docPartGallery w:val="Page Numbers (Bottom of Page)"/>
        <w:docPartUnique/>
      </w:docPartObj>
    </w:sdtPr>
    <w:sdtEndPr>
      <w:rPr>
        <w:noProof/>
      </w:rPr>
    </w:sdtEndPr>
    <w:sdtContent>
      <w:p w14:paraId="13F96B29" w14:textId="65B7BF18" w:rsidR="00A5434E" w:rsidRDefault="00A543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ADFE17" w14:textId="77777777" w:rsidR="00A5434E" w:rsidRDefault="00A54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7FFC" w14:textId="77777777" w:rsidR="004D68BA" w:rsidRDefault="004D68BA" w:rsidP="00105A96">
      <w:pPr>
        <w:spacing w:after="0" w:line="240" w:lineRule="auto"/>
      </w:pPr>
      <w:r>
        <w:separator/>
      </w:r>
    </w:p>
  </w:footnote>
  <w:footnote w:type="continuationSeparator" w:id="0">
    <w:p w14:paraId="0B82BAB6" w14:textId="77777777" w:rsidR="004D68BA" w:rsidRDefault="004D68BA" w:rsidP="00105A96">
      <w:pPr>
        <w:spacing w:after="0" w:line="240" w:lineRule="auto"/>
      </w:pPr>
      <w:r>
        <w:continuationSeparator/>
      </w:r>
    </w:p>
  </w:footnote>
  <w:footnote w:id="1">
    <w:p w14:paraId="63247563" w14:textId="77777777" w:rsidR="005A4851" w:rsidRDefault="005A4851" w:rsidP="005A4851">
      <w:pPr>
        <w:pStyle w:val="FootnoteText"/>
      </w:pPr>
      <w:r>
        <w:rPr>
          <w:rStyle w:val="FootnoteReference"/>
        </w:rPr>
        <w:footnoteRef/>
      </w:r>
      <w:r>
        <w:t xml:space="preserve"> The most updated version is always available on the website under the “Exemptions” drop down at </w:t>
      </w:r>
      <w:hyperlink r:id="rId1" w:history="1">
        <w:r w:rsidRPr="00185C18">
          <w:rPr>
            <w:rStyle w:val="Hyperlink"/>
          </w:rPr>
          <w:t>www.BoulderBuildingPerformance.com</w:t>
        </w:r>
      </w:hyperlink>
      <w:r>
        <w:t xml:space="preserve"> </w:t>
      </w:r>
    </w:p>
  </w:footnote>
  <w:footnote w:id="2">
    <w:p w14:paraId="3767C17C" w14:textId="1EED93C6" w:rsidR="0048622B" w:rsidRDefault="0048622B">
      <w:pPr>
        <w:pStyle w:val="FootnoteText"/>
      </w:pPr>
      <w:r>
        <w:rPr>
          <w:rStyle w:val="FootnoteReference"/>
        </w:rPr>
        <w:footnoteRef/>
      </w:r>
      <w:r>
        <w:t xml:space="preserve"> </w:t>
      </w:r>
      <w:r w:rsidRPr="0048622B">
        <w:t xml:space="preserve">There’s no fee to apply for ENERGY STAR certification, but applications do require review </w:t>
      </w:r>
      <w:r>
        <w:t xml:space="preserve">and verification </w:t>
      </w:r>
      <w:r w:rsidRPr="0048622B">
        <w:t xml:space="preserve">by a professional engineer or a registered </w:t>
      </w:r>
      <w:r>
        <w:t xml:space="preserve">architect, which may have a cost. Find tips for low-cost verifications here: </w:t>
      </w:r>
      <w:hyperlink r:id="rId2" w:history="1">
        <w:r w:rsidRPr="000B765D">
          <w:rPr>
            <w:rStyle w:val="Hyperlink"/>
          </w:rPr>
          <w:t>https://www.energystar.gov/buildings/facility-owners-and-managers/existing-buildings/earn-recognition/energy-star-certification/tips-low</w:t>
        </w:r>
      </w:hyperlink>
      <w:r>
        <w:t xml:space="preserve"> and more information on pro-bono verifications here: </w:t>
      </w:r>
      <w:hyperlink r:id="rId3" w:history="1">
        <w:r w:rsidRPr="000B765D">
          <w:rPr>
            <w:rStyle w:val="Hyperlink"/>
          </w:rPr>
          <w:t>https://www.energystar.gov/buildings/service_providers/verify/pro_bono_verification_energy_star_applications</w:t>
        </w:r>
      </w:hyperlink>
      <w:r>
        <w:t xml:space="preserve"> </w:t>
      </w:r>
    </w:p>
  </w:footnote>
  <w:footnote w:id="3">
    <w:p w14:paraId="08B844E3" w14:textId="77777777" w:rsidR="005A4851" w:rsidRDefault="005A4851" w:rsidP="005A4851">
      <w:pPr>
        <w:pStyle w:val="FootnoteText"/>
      </w:pPr>
      <w:r>
        <w:rPr>
          <w:rStyle w:val="FootnoteReference"/>
        </w:rPr>
        <w:footnoteRef/>
      </w:r>
      <w:r>
        <w:t xml:space="preserve"> If a building owner is considering applying for this exemption, note that the owner will likely be asked to submit proof of payment for the upgrades implemented.  </w:t>
      </w:r>
    </w:p>
  </w:footnote>
  <w:footnote w:id="4">
    <w:p w14:paraId="3EC109A1" w14:textId="77777777" w:rsidR="00936858" w:rsidRDefault="00936858" w:rsidP="00936858">
      <w:pPr>
        <w:pStyle w:val="FootnoteText"/>
      </w:pPr>
      <w:r>
        <w:rPr>
          <w:rStyle w:val="FootnoteReference"/>
        </w:rPr>
        <w:footnoteRef/>
      </w:r>
      <w:r>
        <w:t xml:space="preserve"> I</w:t>
      </w:r>
      <w:r w:rsidRPr="009E2FCD">
        <w:t>f you have questions on CORA, please view this </w:t>
      </w:r>
      <w:hyperlink r:id="rId4" w:history="1">
        <w:r w:rsidRPr="009E2FCD">
          <w:rPr>
            <w:rStyle w:val="Hyperlink"/>
          </w:rPr>
          <w:t>additional information</w:t>
        </w:r>
      </w:hyperlink>
      <w:r w:rsidRPr="009E2FCD">
        <w:t>.</w:t>
      </w:r>
    </w:p>
  </w:footnote>
  <w:footnote w:id="5">
    <w:p w14:paraId="0E9B31B2" w14:textId="185F2A5B" w:rsidR="00936858" w:rsidRDefault="00936858" w:rsidP="00936858">
      <w:pPr>
        <w:pStyle w:val="FootnoteText"/>
      </w:pPr>
      <w:r>
        <w:rPr>
          <w:rStyle w:val="FootnoteReference"/>
        </w:rPr>
        <w:footnoteRef/>
      </w:r>
      <w:r>
        <w:t xml:space="preserve"> If this exemption request is approved, the information provided will not be </w:t>
      </w:r>
      <w:r w:rsidR="00A5434E">
        <w:t>publicly</w:t>
      </w:r>
      <w:r>
        <w:t xml:space="preserve"> disclosed. In the event a Colorado Open Record Act (CORA) request is made, the city will deny the CORA request based on this exemption. However, if this denial is challenged, the building owner must defend the exemption, not the city.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E32D" w14:textId="77777777" w:rsidR="004D7605" w:rsidRDefault="004D7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06E3" w14:textId="77777777" w:rsidR="004B304B" w:rsidRPr="005F325F" w:rsidRDefault="431BD548" w:rsidP="431BD548">
    <w:pPr>
      <w:pStyle w:val="Header"/>
      <w:rPr>
        <w:b/>
        <w:bCs/>
        <w:color w:val="FFFFFF" w:themeColor="background1"/>
      </w:rPr>
    </w:pPr>
    <w:r w:rsidRPr="431BD548">
      <w:rPr>
        <w:b/>
        <w:bCs/>
      </w:rPr>
      <w:t xml:space="preserve">Boulder Building Performance Ordinance: Rating &amp; Reporting How-To Guide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B682" w14:textId="77777777" w:rsidR="004D7605" w:rsidRDefault="004D7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0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551367"/>
    <w:multiLevelType w:val="hybridMultilevel"/>
    <w:tmpl w:val="21146DFE"/>
    <w:lvl w:ilvl="0" w:tplc="7CD0AADA">
      <w:start w:val="4"/>
      <w:numFmt w:val="upperLetter"/>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620E3"/>
    <w:multiLevelType w:val="hybridMultilevel"/>
    <w:tmpl w:val="D3EE0514"/>
    <w:lvl w:ilvl="0" w:tplc="C402F8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53A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2310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E9553F"/>
    <w:multiLevelType w:val="hybridMultilevel"/>
    <w:tmpl w:val="206C1B0A"/>
    <w:lvl w:ilvl="0" w:tplc="638C5500">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302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83039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6242F5"/>
    <w:multiLevelType w:val="hybridMultilevel"/>
    <w:tmpl w:val="FB8A7AD8"/>
    <w:lvl w:ilvl="0" w:tplc="36327BF8">
      <w:start w:val="1"/>
      <w:numFmt w:val="lowerLetter"/>
      <w:lvlText w:val="%1."/>
      <w:lvlJc w:val="righ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9895A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9FD2B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CC84E14"/>
    <w:multiLevelType w:val="hybridMultilevel"/>
    <w:tmpl w:val="FB8A7AD8"/>
    <w:lvl w:ilvl="0" w:tplc="36327BF8">
      <w:start w:val="1"/>
      <w:numFmt w:val="lowerLetter"/>
      <w:lvlText w:val="%1."/>
      <w:lvlJc w:val="righ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1770519">
    <w:abstractNumId w:val="5"/>
  </w:num>
  <w:num w:numId="2" w16cid:durableId="1482648904">
    <w:abstractNumId w:val="3"/>
  </w:num>
  <w:num w:numId="3" w16cid:durableId="376398013">
    <w:abstractNumId w:val="9"/>
  </w:num>
  <w:num w:numId="4" w16cid:durableId="1754661858">
    <w:abstractNumId w:val="0"/>
  </w:num>
  <w:num w:numId="5" w16cid:durableId="1132937776">
    <w:abstractNumId w:val="4"/>
  </w:num>
  <w:num w:numId="6" w16cid:durableId="1729646237">
    <w:abstractNumId w:val="7"/>
  </w:num>
  <w:num w:numId="7" w16cid:durableId="645209044">
    <w:abstractNumId w:val="6"/>
  </w:num>
  <w:num w:numId="8" w16cid:durableId="241527078">
    <w:abstractNumId w:val="10"/>
  </w:num>
  <w:num w:numId="9" w16cid:durableId="2146896667">
    <w:abstractNumId w:val="1"/>
  </w:num>
  <w:num w:numId="10" w16cid:durableId="491338385">
    <w:abstractNumId w:val="2"/>
  </w:num>
  <w:num w:numId="11" w16cid:durableId="423234367">
    <w:abstractNumId w:val="8"/>
  </w:num>
  <w:num w:numId="12" w16cid:durableId="144372114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fill="f" fillcolor="none [3207]" strokecolor="red">
      <v:fill color="none [3207]" on="f"/>
      <v:stroke color="red" weight="3pt"/>
      <v:shadow on="t" type="perspective" color="none [1607]" opacity=".5" offset="1pt" offset2="-1pt"/>
      <o:colormru v:ext="edit" colors="#f93,#ffba75,#fdb82f,#396,teal,#fed88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7C"/>
    <w:rsid w:val="0000016E"/>
    <w:rsid w:val="00000FF1"/>
    <w:rsid w:val="000029E4"/>
    <w:rsid w:val="00006FBA"/>
    <w:rsid w:val="00010AAF"/>
    <w:rsid w:val="000113A5"/>
    <w:rsid w:val="000177DD"/>
    <w:rsid w:val="000336D8"/>
    <w:rsid w:val="00036F00"/>
    <w:rsid w:val="0004033B"/>
    <w:rsid w:val="000433A4"/>
    <w:rsid w:val="00043E34"/>
    <w:rsid w:val="00045884"/>
    <w:rsid w:val="00051004"/>
    <w:rsid w:val="000561A1"/>
    <w:rsid w:val="00061066"/>
    <w:rsid w:val="00080240"/>
    <w:rsid w:val="000833AC"/>
    <w:rsid w:val="000844D9"/>
    <w:rsid w:val="00084681"/>
    <w:rsid w:val="00085109"/>
    <w:rsid w:val="00086835"/>
    <w:rsid w:val="000A50C1"/>
    <w:rsid w:val="000A6C78"/>
    <w:rsid w:val="000B4529"/>
    <w:rsid w:val="000B45D9"/>
    <w:rsid w:val="000B740A"/>
    <w:rsid w:val="000C181B"/>
    <w:rsid w:val="000C36D3"/>
    <w:rsid w:val="000C38C4"/>
    <w:rsid w:val="000C4C92"/>
    <w:rsid w:val="000C7223"/>
    <w:rsid w:val="000D04C1"/>
    <w:rsid w:val="000D1585"/>
    <w:rsid w:val="000D29BC"/>
    <w:rsid w:val="000D6813"/>
    <w:rsid w:val="000E60CC"/>
    <w:rsid w:val="000E6F6C"/>
    <w:rsid w:val="00101417"/>
    <w:rsid w:val="00103A07"/>
    <w:rsid w:val="00105A96"/>
    <w:rsid w:val="00113D95"/>
    <w:rsid w:val="00116BBB"/>
    <w:rsid w:val="001206DA"/>
    <w:rsid w:val="00126908"/>
    <w:rsid w:val="00132972"/>
    <w:rsid w:val="00136501"/>
    <w:rsid w:val="00136667"/>
    <w:rsid w:val="00140008"/>
    <w:rsid w:val="00140EE9"/>
    <w:rsid w:val="00144D2B"/>
    <w:rsid w:val="001520A4"/>
    <w:rsid w:val="00161548"/>
    <w:rsid w:val="001620F0"/>
    <w:rsid w:val="001643A9"/>
    <w:rsid w:val="0016515C"/>
    <w:rsid w:val="001758B3"/>
    <w:rsid w:val="001809AF"/>
    <w:rsid w:val="00186720"/>
    <w:rsid w:val="0019090B"/>
    <w:rsid w:val="001A14B0"/>
    <w:rsid w:val="001A5947"/>
    <w:rsid w:val="001A5A2A"/>
    <w:rsid w:val="001B0B4D"/>
    <w:rsid w:val="001B63C9"/>
    <w:rsid w:val="001C00D7"/>
    <w:rsid w:val="001C23C8"/>
    <w:rsid w:val="001C7E7B"/>
    <w:rsid w:val="001D3295"/>
    <w:rsid w:val="001E18EE"/>
    <w:rsid w:val="001E687F"/>
    <w:rsid w:val="001F1490"/>
    <w:rsid w:val="001F314C"/>
    <w:rsid w:val="00200EA2"/>
    <w:rsid w:val="00201C41"/>
    <w:rsid w:val="00202157"/>
    <w:rsid w:val="0020446A"/>
    <w:rsid w:val="00204584"/>
    <w:rsid w:val="00204C93"/>
    <w:rsid w:val="00220BDB"/>
    <w:rsid w:val="002247DD"/>
    <w:rsid w:val="002270F0"/>
    <w:rsid w:val="00232786"/>
    <w:rsid w:val="00236504"/>
    <w:rsid w:val="002505B1"/>
    <w:rsid w:val="00256151"/>
    <w:rsid w:val="00257BFE"/>
    <w:rsid w:val="0026512F"/>
    <w:rsid w:val="00273343"/>
    <w:rsid w:val="0027511D"/>
    <w:rsid w:val="00282C0B"/>
    <w:rsid w:val="00291C04"/>
    <w:rsid w:val="002921BD"/>
    <w:rsid w:val="00292B5D"/>
    <w:rsid w:val="002A22A4"/>
    <w:rsid w:val="002B5D5D"/>
    <w:rsid w:val="002B733D"/>
    <w:rsid w:val="002C1557"/>
    <w:rsid w:val="002D4BF9"/>
    <w:rsid w:val="002D4D8C"/>
    <w:rsid w:val="002D585B"/>
    <w:rsid w:val="002D6D80"/>
    <w:rsid w:val="002E3ECC"/>
    <w:rsid w:val="002F3220"/>
    <w:rsid w:val="003051E6"/>
    <w:rsid w:val="003058F3"/>
    <w:rsid w:val="00307934"/>
    <w:rsid w:val="00307B68"/>
    <w:rsid w:val="00311C82"/>
    <w:rsid w:val="00312005"/>
    <w:rsid w:val="00314253"/>
    <w:rsid w:val="00314DD2"/>
    <w:rsid w:val="00315697"/>
    <w:rsid w:val="00315FC7"/>
    <w:rsid w:val="00320CE4"/>
    <w:rsid w:val="00321E5F"/>
    <w:rsid w:val="00326F42"/>
    <w:rsid w:val="00327D6F"/>
    <w:rsid w:val="00332B0A"/>
    <w:rsid w:val="00333544"/>
    <w:rsid w:val="00362C3D"/>
    <w:rsid w:val="0036424B"/>
    <w:rsid w:val="0037148C"/>
    <w:rsid w:val="00371663"/>
    <w:rsid w:val="00384663"/>
    <w:rsid w:val="003852AC"/>
    <w:rsid w:val="00386493"/>
    <w:rsid w:val="00391F75"/>
    <w:rsid w:val="003B40EF"/>
    <w:rsid w:val="003B579D"/>
    <w:rsid w:val="003B7CF8"/>
    <w:rsid w:val="003C2B69"/>
    <w:rsid w:val="003C2DBE"/>
    <w:rsid w:val="003D74A9"/>
    <w:rsid w:val="003E2223"/>
    <w:rsid w:val="003E61D2"/>
    <w:rsid w:val="003E68D9"/>
    <w:rsid w:val="003F4309"/>
    <w:rsid w:val="003F5FE3"/>
    <w:rsid w:val="0040381D"/>
    <w:rsid w:val="00407241"/>
    <w:rsid w:val="004158D7"/>
    <w:rsid w:val="004301DF"/>
    <w:rsid w:val="00434789"/>
    <w:rsid w:val="00436CB3"/>
    <w:rsid w:val="00441437"/>
    <w:rsid w:val="00441F1D"/>
    <w:rsid w:val="00447E2E"/>
    <w:rsid w:val="00450155"/>
    <w:rsid w:val="00453747"/>
    <w:rsid w:val="0047353F"/>
    <w:rsid w:val="004853D2"/>
    <w:rsid w:val="0048622B"/>
    <w:rsid w:val="004917C4"/>
    <w:rsid w:val="00494C5C"/>
    <w:rsid w:val="00496264"/>
    <w:rsid w:val="00497AC2"/>
    <w:rsid w:val="004B16AF"/>
    <w:rsid w:val="004B304B"/>
    <w:rsid w:val="004D2E64"/>
    <w:rsid w:val="004D3C37"/>
    <w:rsid w:val="004D43A2"/>
    <w:rsid w:val="004D68BA"/>
    <w:rsid w:val="004D7605"/>
    <w:rsid w:val="004E067C"/>
    <w:rsid w:val="004E1AD1"/>
    <w:rsid w:val="004E64D8"/>
    <w:rsid w:val="004E6A50"/>
    <w:rsid w:val="004F40F1"/>
    <w:rsid w:val="005002CF"/>
    <w:rsid w:val="00500D54"/>
    <w:rsid w:val="005027C5"/>
    <w:rsid w:val="00504C35"/>
    <w:rsid w:val="00517472"/>
    <w:rsid w:val="00517CD5"/>
    <w:rsid w:val="00521CA3"/>
    <w:rsid w:val="00522994"/>
    <w:rsid w:val="0052600D"/>
    <w:rsid w:val="00526B79"/>
    <w:rsid w:val="00531427"/>
    <w:rsid w:val="0054014C"/>
    <w:rsid w:val="00543646"/>
    <w:rsid w:val="005441E1"/>
    <w:rsid w:val="00565CF5"/>
    <w:rsid w:val="00574418"/>
    <w:rsid w:val="00591B75"/>
    <w:rsid w:val="005A0B56"/>
    <w:rsid w:val="005A2A17"/>
    <w:rsid w:val="005A4851"/>
    <w:rsid w:val="005A57E8"/>
    <w:rsid w:val="005A5DAE"/>
    <w:rsid w:val="005B569A"/>
    <w:rsid w:val="005C24DA"/>
    <w:rsid w:val="005D1838"/>
    <w:rsid w:val="005D2E8D"/>
    <w:rsid w:val="005D3425"/>
    <w:rsid w:val="005D4A32"/>
    <w:rsid w:val="005D4D90"/>
    <w:rsid w:val="005D758C"/>
    <w:rsid w:val="005E1B52"/>
    <w:rsid w:val="005F325F"/>
    <w:rsid w:val="00601B1D"/>
    <w:rsid w:val="00602C37"/>
    <w:rsid w:val="00605FC0"/>
    <w:rsid w:val="00612178"/>
    <w:rsid w:val="00615611"/>
    <w:rsid w:val="00633BDF"/>
    <w:rsid w:val="006349F7"/>
    <w:rsid w:val="00644496"/>
    <w:rsid w:val="006468B8"/>
    <w:rsid w:val="00647B8F"/>
    <w:rsid w:val="006551C1"/>
    <w:rsid w:val="0065660D"/>
    <w:rsid w:val="00660B67"/>
    <w:rsid w:val="00661ABE"/>
    <w:rsid w:val="00665DDB"/>
    <w:rsid w:val="00665EAD"/>
    <w:rsid w:val="00671B6D"/>
    <w:rsid w:val="00676868"/>
    <w:rsid w:val="006770F7"/>
    <w:rsid w:val="00680E98"/>
    <w:rsid w:val="006843E5"/>
    <w:rsid w:val="00697227"/>
    <w:rsid w:val="006A2FF2"/>
    <w:rsid w:val="006A4C55"/>
    <w:rsid w:val="006B1228"/>
    <w:rsid w:val="006B49E8"/>
    <w:rsid w:val="006B5AB6"/>
    <w:rsid w:val="006C49B9"/>
    <w:rsid w:val="006C5428"/>
    <w:rsid w:val="006D1AFF"/>
    <w:rsid w:val="006E2DF9"/>
    <w:rsid w:val="006E6EB3"/>
    <w:rsid w:val="006F77CB"/>
    <w:rsid w:val="007039C8"/>
    <w:rsid w:val="00703AA2"/>
    <w:rsid w:val="00707D8B"/>
    <w:rsid w:val="00710C7C"/>
    <w:rsid w:val="00716A39"/>
    <w:rsid w:val="00717EB1"/>
    <w:rsid w:val="007239A3"/>
    <w:rsid w:val="00725F9D"/>
    <w:rsid w:val="0073559B"/>
    <w:rsid w:val="00740016"/>
    <w:rsid w:val="00751632"/>
    <w:rsid w:val="00753D4E"/>
    <w:rsid w:val="00754AD0"/>
    <w:rsid w:val="007604C1"/>
    <w:rsid w:val="007650F8"/>
    <w:rsid w:val="0076718D"/>
    <w:rsid w:val="0077369A"/>
    <w:rsid w:val="00776BC6"/>
    <w:rsid w:val="0078651B"/>
    <w:rsid w:val="00786D79"/>
    <w:rsid w:val="00794B18"/>
    <w:rsid w:val="007A0D04"/>
    <w:rsid w:val="007A4DCA"/>
    <w:rsid w:val="007A6C58"/>
    <w:rsid w:val="007A705D"/>
    <w:rsid w:val="007C1AF7"/>
    <w:rsid w:val="007C3146"/>
    <w:rsid w:val="007C5826"/>
    <w:rsid w:val="007D3F97"/>
    <w:rsid w:val="007D4378"/>
    <w:rsid w:val="007F1C38"/>
    <w:rsid w:val="00802D41"/>
    <w:rsid w:val="008062E9"/>
    <w:rsid w:val="008109FD"/>
    <w:rsid w:val="00815EA4"/>
    <w:rsid w:val="00827B52"/>
    <w:rsid w:val="00831072"/>
    <w:rsid w:val="00840562"/>
    <w:rsid w:val="008458C7"/>
    <w:rsid w:val="008539F7"/>
    <w:rsid w:val="0085618E"/>
    <w:rsid w:val="008612A4"/>
    <w:rsid w:val="00863D72"/>
    <w:rsid w:val="00864E22"/>
    <w:rsid w:val="008679DF"/>
    <w:rsid w:val="00874FB7"/>
    <w:rsid w:val="00887B0A"/>
    <w:rsid w:val="00891888"/>
    <w:rsid w:val="008A1BF2"/>
    <w:rsid w:val="008A296C"/>
    <w:rsid w:val="008A43A4"/>
    <w:rsid w:val="008A5CAE"/>
    <w:rsid w:val="008B36A4"/>
    <w:rsid w:val="008D4910"/>
    <w:rsid w:val="008E03BD"/>
    <w:rsid w:val="008E6857"/>
    <w:rsid w:val="008E6BEB"/>
    <w:rsid w:val="008F6BD7"/>
    <w:rsid w:val="008F75AA"/>
    <w:rsid w:val="009079E5"/>
    <w:rsid w:val="009179DA"/>
    <w:rsid w:val="00925905"/>
    <w:rsid w:val="00936858"/>
    <w:rsid w:val="0095115A"/>
    <w:rsid w:val="00952297"/>
    <w:rsid w:val="00970C92"/>
    <w:rsid w:val="009711F7"/>
    <w:rsid w:val="009861F4"/>
    <w:rsid w:val="00990317"/>
    <w:rsid w:val="0099335F"/>
    <w:rsid w:val="009958C7"/>
    <w:rsid w:val="00997B83"/>
    <w:rsid w:val="009A05F3"/>
    <w:rsid w:val="009A145B"/>
    <w:rsid w:val="009B56E5"/>
    <w:rsid w:val="009B7D5B"/>
    <w:rsid w:val="009C2083"/>
    <w:rsid w:val="009C3C05"/>
    <w:rsid w:val="009C4A9A"/>
    <w:rsid w:val="009D19A5"/>
    <w:rsid w:val="009D325A"/>
    <w:rsid w:val="009D725C"/>
    <w:rsid w:val="009E2563"/>
    <w:rsid w:val="009E2711"/>
    <w:rsid w:val="009F66DE"/>
    <w:rsid w:val="009F7105"/>
    <w:rsid w:val="00A01AA7"/>
    <w:rsid w:val="00A0500F"/>
    <w:rsid w:val="00A11A66"/>
    <w:rsid w:val="00A15410"/>
    <w:rsid w:val="00A206F6"/>
    <w:rsid w:val="00A23FEB"/>
    <w:rsid w:val="00A2604B"/>
    <w:rsid w:val="00A26E45"/>
    <w:rsid w:val="00A279C5"/>
    <w:rsid w:val="00A32FF3"/>
    <w:rsid w:val="00A35404"/>
    <w:rsid w:val="00A440BC"/>
    <w:rsid w:val="00A5434E"/>
    <w:rsid w:val="00A55480"/>
    <w:rsid w:val="00A55D3F"/>
    <w:rsid w:val="00A56A6D"/>
    <w:rsid w:val="00A6295C"/>
    <w:rsid w:val="00A63B9E"/>
    <w:rsid w:val="00A6617E"/>
    <w:rsid w:val="00A915BB"/>
    <w:rsid w:val="00A921A6"/>
    <w:rsid w:val="00A95DB9"/>
    <w:rsid w:val="00A96BC1"/>
    <w:rsid w:val="00AB1D0C"/>
    <w:rsid w:val="00AB7F9C"/>
    <w:rsid w:val="00AC1221"/>
    <w:rsid w:val="00AC227E"/>
    <w:rsid w:val="00AC50B6"/>
    <w:rsid w:val="00AD2A0B"/>
    <w:rsid w:val="00AE080C"/>
    <w:rsid w:val="00AE3619"/>
    <w:rsid w:val="00B06A47"/>
    <w:rsid w:val="00B13BE0"/>
    <w:rsid w:val="00B36AD9"/>
    <w:rsid w:val="00B4273D"/>
    <w:rsid w:val="00B47B00"/>
    <w:rsid w:val="00B47F48"/>
    <w:rsid w:val="00B47F81"/>
    <w:rsid w:val="00B50D34"/>
    <w:rsid w:val="00B576E2"/>
    <w:rsid w:val="00B60112"/>
    <w:rsid w:val="00B6193E"/>
    <w:rsid w:val="00B73CEF"/>
    <w:rsid w:val="00B75C47"/>
    <w:rsid w:val="00B83480"/>
    <w:rsid w:val="00B83974"/>
    <w:rsid w:val="00BA0051"/>
    <w:rsid w:val="00BA1F32"/>
    <w:rsid w:val="00BA3DCE"/>
    <w:rsid w:val="00BA4161"/>
    <w:rsid w:val="00BB0847"/>
    <w:rsid w:val="00BC0998"/>
    <w:rsid w:val="00BC34A7"/>
    <w:rsid w:val="00BC5C9E"/>
    <w:rsid w:val="00BC6621"/>
    <w:rsid w:val="00BD2459"/>
    <w:rsid w:val="00BE0A22"/>
    <w:rsid w:val="00BE0B27"/>
    <w:rsid w:val="00BE4D37"/>
    <w:rsid w:val="00BE5AC0"/>
    <w:rsid w:val="00BE5ACD"/>
    <w:rsid w:val="00BE68F9"/>
    <w:rsid w:val="00BF38FF"/>
    <w:rsid w:val="00BF418C"/>
    <w:rsid w:val="00C05122"/>
    <w:rsid w:val="00C11357"/>
    <w:rsid w:val="00C12B67"/>
    <w:rsid w:val="00C12B96"/>
    <w:rsid w:val="00C16B23"/>
    <w:rsid w:val="00C205B4"/>
    <w:rsid w:val="00C20AC0"/>
    <w:rsid w:val="00C2212E"/>
    <w:rsid w:val="00C31DD9"/>
    <w:rsid w:val="00C33D29"/>
    <w:rsid w:val="00C402E9"/>
    <w:rsid w:val="00C404C0"/>
    <w:rsid w:val="00C40CFB"/>
    <w:rsid w:val="00C4218D"/>
    <w:rsid w:val="00C43600"/>
    <w:rsid w:val="00C46143"/>
    <w:rsid w:val="00C46477"/>
    <w:rsid w:val="00C47322"/>
    <w:rsid w:val="00C54E08"/>
    <w:rsid w:val="00C60833"/>
    <w:rsid w:val="00C610B5"/>
    <w:rsid w:val="00C616BF"/>
    <w:rsid w:val="00C64CFE"/>
    <w:rsid w:val="00C66B2C"/>
    <w:rsid w:val="00C72EB3"/>
    <w:rsid w:val="00C7341C"/>
    <w:rsid w:val="00C85610"/>
    <w:rsid w:val="00C9797F"/>
    <w:rsid w:val="00CA3658"/>
    <w:rsid w:val="00CA420B"/>
    <w:rsid w:val="00CB4134"/>
    <w:rsid w:val="00CB5285"/>
    <w:rsid w:val="00CB5C6C"/>
    <w:rsid w:val="00CC0350"/>
    <w:rsid w:val="00CC5717"/>
    <w:rsid w:val="00CC6147"/>
    <w:rsid w:val="00CD1D5F"/>
    <w:rsid w:val="00CD2E9D"/>
    <w:rsid w:val="00CD3B3B"/>
    <w:rsid w:val="00CD78A2"/>
    <w:rsid w:val="00CE2E5A"/>
    <w:rsid w:val="00CE4281"/>
    <w:rsid w:val="00CF116B"/>
    <w:rsid w:val="00CF3739"/>
    <w:rsid w:val="00D11614"/>
    <w:rsid w:val="00D17EAF"/>
    <w:rsid w:val="00D22A28"/>
    <w:rsid w:val="00D30417"/>
    <w:rsid w:val="00D33BB7"/>
    <w:rsid w:val="00D37BF6"/>
    <w:rsid w:val="00D436D6"/>
    <w:rsid w:val="00D43AA3"/>
    <w:rsid w:val="00D43EC0"/>
    <w:rsid w:val="00D459CA"/>
    <w:rsid w:val="00D568BE"/>
    <w:rsid w:val="00D57847"/>
    <w:rsid w:val="00D62693"/>
    <w:rsid w:val="00D629C5"/>
    <w:rsid w:val="00D646DA"/>
    <w:rsid w:val="00D65A33"/>
    <w:rsid w:val="00D661D4"/>
    <w:rsid w:val="00D743DB"/>
    <w:rsid w:val="00D823ED"/>
    <w:rsid w:val="00D85378"/>
    <w:rsid w:val="00D86C99"/>
    <w:rsid w:val="00D91302"/>
    <w:rsid w:val="00D93A89"/>
    <w:rsid w:val="00D957CC"/>
    <w:rsid w:val="00DA142F"/>
    <w:rsid w:val="00DA1B88"/>
    <w:rsid w:val="00DA6DFB"/>
    <w:rsid w:val="00DB4B40"/>
    <w:rsid w:val="00DD1B08"/>
    <w:rsid w:val="00DD688D"/>
    <w:rsid w:val="00DD73BC"/>
    <w:rsid w:val="00DF2B8A"/>
    <w:rsid w:val="00DF5EE8"/>
    <w:rsid w:val="00DF6491"/>
    <w:rsid w:val="00E06DFA"/>
    <w:rsid w:val="00E10141"/>
    <w:rsid w:val="00E125B6"/>
    <w:rsid w:val="00E16F3A"/>
    <w:rsid w:val="00E4257B"/>
    <w:rsid w:val="00E42E1A"/>
    <w:rsid w:val="00E43266"/>
    <w:rsid w:val="00E445C2"/>
    <w:rsid w:val="00E44BC3"/>
    <w:rsid w:val="00E44F06"/>
    <w:rsid w:val="00E54229"/>
    <w:rsid w:val="00E562AE"/>
    <w:rsid w:val="00E56EED"/>
    <w:rsid w:val="00E62D3E"/>
    <w:rsid w:val="00E649E8"/>
    <w:rsid w:val="00E7013E"/>
    <w:rsid w:val="00E71A38"/>
    <w:rsid w:val="00E74104"/>
    <w:rsid w:val="00E7728D"/>
    <w:rsid w:val="00E81175"/>
    <w:rsid w:val="00E83565"/>
    <w:rsid w:val="00E86CE0"/>
    <w:rsid w:val="00E9140C"/>
    <w:rsid w:val="00E916F3"/>
    <w:rsid w:val="00EA05D1"/>
    <w:rsid w:val="00EB2690"/>
    <w:rsid w:val="00EB6ACF"/>
    <w:rsid w:val="00EC52CE"/>
    <w:rsid w:val="00EC6D3C"/>
    <w:rsid w:val="00ED16D3"/>
    <w:rsid w:val="00ED5E0E"/>
    <w:rsid w:val="00EE0F8F"/>
    <w:rsid w:val="00EE28E0"/>
    <w:rsid w:val="00EE33B5"/>
    <w:rsid w:val="00EE7945"/>
    <w:rsid w:val="00EF4C65"/>
    <w:rsid w:val="00EF54FC"/>
    <w:rsid w:val="00F07C31"/>
    <w:rsid w:val="00F110B1"/>
    <w:rsid w:val="00F11189"/>
    <w:rsid w:val="00F1259C"/>
    <w:rsid w:val="00F12F54"/>
    <w:rsid w:val="00F15D0C"/>
    <w:rsid w:val="00F17632"/>
    <w:rsid w:val="00F20E26"/>
    <w:rsid w:val="00F2130D"/>
    <w:rsid w:val="00F24AD4"/>
    <w:rsid w:val="00F27423"/>
    <w:rsid w:val="00F32404"/>
    <w:rsid w:val="00F32702"/>
    <w:rsid w:val="00F372A5"/>
    <w:rsid w:val="00F377F6"/>
    <w:rsid w:val="00F406D5"/>
    <w:rsid w:val="00F530BA"/>
    <w:rsid w:val="00F53E8F"/>
    <w:rsid w:val="00F60214"/>
    <w:rsid w:val="00F60BA8"/>
    <w:rsid w:val="00F6321E"/>
    <w:rsid w:val="00F7330A"/>
    <w:rsid w:val="00F80B08"/>
    <w:rsid w:val="00F85974"/>
    <w:rsid w:val="00F900D5"/>
    <w:rsid w:val="00F94A57"/>
    <w:rsid w:val="00F960EF"/>
    <w:rsid w:val="00F97629"/>
    <w:rsid w:val="00FC1101"/>
    <w:rsid w:val="00FC711C"/>
    <w:rsid w:val="00FE03F3"/>
    <w:rsid w:val="00FE16AA"/>
    <w:rsid w:val="00FE21DF"/>
    <w:rsid w:val="00FE2B8B"/>
    <w:rsid w:val="00FE3C62"/>
    <w:rsid w:val="00FF0FF2"/>
    <w:rsid w:val="10CDFF8C"/>
    <w:rsid w:val="14F1E73E"/>
    <w:rsid w:val="1AFA2358"/>
    <w:rsid w:val="27D8D816"/>
    <w:rsid w:val="28F76285"/>
    <w:rsid w:val="431BD548"/>
    <w:rsid w:val="490C4D0B"/>
    <w:rsid w:val="6A6FEC60"/>
    <w:rsid w:val="73831DD3"/>
    <w:rsid w:val="7A54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none [3207]" strokecolor="red">
      <v:fill color="none [3207]" on="f"/>
      <v:stroke color="red" weight="3pt"/>
      <v:shadow on="t" type="perspective" color="none [1607]" opacity=".5" offset="1pt" offset2="-1pt"/>
      <o:colormru v:ext="edit" colors="#f93,#ffba75,#fdb82f,#396,teal,#fed88c"/>
    </o:shapedefaults>
    <o:shapelayout v:ext="edit">
      <o:idmap v:ext="edit" data="2"/>
    </o:shapelayout>
  </w:shapeDefaults>
  <w:decimalSymbol w:val="."/>
  <w:listSeparator w:val=","/>
  <w14:docId w14:val="09EE25BE"/>
  <w15:docId w15:val="{9AAC8174-ABD7-4748-A716-6493BC9B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ECC"/>
  </w:style>
  <w:style w:type="paragraph" w:styleId="Heading1">
    <w:name w:val="heading 1"/>
    <w:basedOn w:val="Normal"/>
    <w:next w:val="Normal"/>
    <w:link w:val="Heading1Char"/>
    <w:uiPriority w:val="9"/>
    <w:qFormat/>
    <w:rsid w:val="000C38C4"/>
    <w:pPr>
      <w:keepNext/>
      <w:keepLines/>
      <w:numPr>
        <w:numId w:val="1"/>
      </w:numPr>
      <w:spacing w:before="240" w:after="0"/>
      <w:outlineLvl w:val="0"/>
    </w:pPr>
    <w:rPr>
      <w:rFonts w:asciiTheme="majorHAnsi" w:eastAsiaTheme="majorEastAsia" w:hAnsiTheme="majorHAnsi" w:cstheme="majorBidi"/>
      <w:color w:val="004C4C" w:themeColor="accent1" w:themeShade="BF"/>
      <w:sz w:val="32"/>
      <w:szCs w:val="32"/>
    </w:rPr>
  </w:style>
  <w:style w:type="paragraph" w:styleId="Heading2">
    <w:name w:val="heading 2"/>
    <w:basedOn w:val="Normal"/>
    <w:next w:val="Normal"/>
    <w:link w:val="Heading2Char"/>
    <w:uiPriority w:val="9"/>
    <w:unhideWhenUsed/>
    <w:qFormat/>
    <w:rsid w:val="000C38C4"/>
    <w:pPr>
      <w:keepNext/>
      <w:keepLines/>
      <w:spacing w:before="40" w:after="0"/>
      <w:outlineLvl w:val="1"/>
    </w:pPr>
    <w:rPr>
      <w:rFonts w:asciiTheme="majorHAnsi" w:eastAsiaTheme="majorEastAsia" w:hAnsiTheme="majorHAnsi" w:cstheme="majorBidi"/>
      <w:color w:val="004C4C" w:themeColor="accent1" w:themeShade="BF"/>
      <w:sz w:val="26"/>
      <w:szCs w:val="26"/>
    </w:rPr>
  </w:style>
  <w:style w:type="paragraph" w:styleId="Heading3">
    <w:name w:val="heading 3"/>
    <w:basedOn w:val="Normal"/>
    <w:next w:val="Normal"/>
    <w:link w:val="Heading3Char"/>
    <w:uiPriority w:val="9"/>
    <w:unhideWhenUsed/>
    <w:qFormat/>
    <w:rsid w:val="00D17EAF"/>
    <w:pPr>
      <w:keepNext/>
      <w:keepLines/>
      <w:spacing w:before="40" w:after="0"/>
      <w:outlineLvl w:val="2"/>
    </w:pPr>
    <w:rPr>
      <w:rFonts w:asciiTheme="majorHAnsi" w:eastAsiaTheme="majorEastAsia" w:hAnsiTheme="majorHAnsi" w:cstheme="majorBidi"/>
      <w:color w:val="003232" w:themeColor="accent1" w:themeShade="7F"/>
      <w:sz w:val="24"/>
      <w:szCs w:val="24"/>
    </w:rPr>
  </w:style>
  <w:style w:type="paragraph" w:styleId="Heading4">
    <w:name w:val="heading 4"/>
    <w:basedOn w:val="Normal"/>
    <w:next w:val="Normal"/>
    <w:link w:val="Heading4Char"/>
    <w:uiPriority w:val="9"/>
    <w:unhideWhenUsed/>
    <w:qFormat/>
    <w:rsid w:val="00B6193E"/>
    <w:pPr>
      <w:keepNext/>
      <w:keepLines/>
      <w:spacing w:before="200" w:after="0"/>
      <w:outlineLvl w:val="3"/>
    </w:pPr>
    <w:rPr>
      <w:rFonts w:asciiTheme="majorHAnsi" w:eastAsiaTheme="majorEastAsia" w:hAnsiTheme="majorHAnsi" w:cstheme="majorBidi"/>
      <w:b/>
      <w:bCs/>
      <w:i/>
      <w:iCs/>
      <w:color w:val="0066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A89"/>
    <w:rPr>
      <w:color w:val="0563C1" w:themeColor="hyperlink"/>
      <w:u w:val="single"/>
    </w:rPr>
  </w:style>
  <w:style w:type="character" w:styleId="CommentReference">
    <w:name w:val="annotation reference"/>
    <w:basedOn w:val="DefaultParagraphFont"/>
    <w:uiPriority w:val="99"/>
    <w:semiHidden/>
    <w:unhideWhenUsed/>
    <w:rsid w:val="005A2A17"/>
    <w:rPr>
      <w:sz w:val="16"/>
      <w:szCs w:val="16"/>
    </w:rPr>
  </w:style>
  <w:style w:type="paragraph" w:styleId="CommentText">
    <w:name w:val="annotation text"/>
    <w:basedOn w:val="Normal"/>
    <w:link w:val="CommentTextChar"/>
    <w:uiPriority w:val="99"/>
    <w:semiHidden/>
    <w:unhideWhenUsed/>
    <w:rsid w:val="005A2A17"/>
    <w:pPr>
      <w:spacing w:line="240" w:lineRule="auto"/>
    </w:pPr>
    <w:rPr>
      <w:sz w:val="20"/>
      <w:szCs w:val="20"/>
    </w:rPr>
  </w:style>
  <w:style w:type="character" w:customStyle="1" w:styleId="CommentTextChar">
    <w:name w:val="Comment Text Char"/>
    <w:basedOn w:val="DefaultParagraphFont"/>
    <w:link w:val="CommentText"/>
    <w:uiPriority w:val="99"/>
    <w:semiHidden/>
    <w:rsid w:val="005A2A17"/>
    <w:rPr>
      <w:sz w:val="20"/>
      <w:szCs w:val="20"/>
    </w:rPr>
  </w:style>
  <w:style w:type="paragraph" w:styleId="CommentSubject">
    <w:name w:val="annotation subject"/>
    <w:basedOn w:val="CommentText"/>
    <w:next w:val="CommentText"/>
    <w:link w:val="CommentSubjectChar"/>
    <w:uiPriority w:val="99"/>
    <w:semiHidden/>
    <w:unhideWhenUsed/>
    <w:rsid w:val="005A2A17"/>
    <w:rPr>
      <w:b/>
      <w:bCs/>
    </w:rPr>
  </w:style>
  <w:style w:type="character" w:customStyle="1" w:styleId="CommentSubjectChar">
    <w:name w:val="Comment Subject Char"/>
    <w:basedOn w:val="CommentTextChar"/>
    <w:link w:val="CommentSubject"/>
    <w:uiPriority w:val="99"/>
    <w:semiHidden/>
    <w:rsid w:val="005A2A17"/>
    <w:rPr>
      <w:b/>
      <w:bCs/>
      <w:sz w:val="20"/>
      <w:szCs w:val="20"/>
    </w:rPr>
  </w:style>
  <w:style w:type="paragraph" w:styleId="BalloonText">
    <w:name w:val="Balloon Text"/>
    <w:basedOn w:val="Normal"/>
    <w:link w:val="BalloonTextChar"/>
    <w:uiPriority w:val="99"/>
    <w:semiHidden/>
    <w:unhideWhenUsed/>
    <w:rsid w:val="005A2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A17"/>
    <w:rPr>
      <w:rFonts w:ascii="Segoe UI" w:hAnsi="Segoe UI" w:cs="Segoe UI"/>
      <w:sz w:val="18"/>
      <w:szCs w:val="18"/>
    </w:rPr>
  </w:style>
  <w:style w:type="paragraph" w:styleId="ListParagraph">
    <w:name w:val="List Paragraph"/>
    <w:basedOn w:val="Normal"/>
    <w:link w:val="ListParagraphChar"/>
    <w:uiPriority w:val="99"/>
    <w:qFormat/>
    <w:rsid w:val="00C404C0"/>
    <w:pPr>
      <w:ind w:left="720"/>
      <w:contextualSpacing/>
    </w:pPr>
  </w:style>
  <w:style w:type="character" w:customStyle="1" w:styleId="Heading1Char">
    <w:name w:val="Heading 1 Char"/>
    <w:basedOn w:val="DefaultParagraphFont"/>
    <w:link w:val="Heading1"/>
    <w:uiPriority w:val="9"/>
    <w:rsid w:val="000C38C4"/>
    <w:rPr>
      <w:rFonts w:asciiTheme="majorHAnsi" w:eastAsiaTheme="majorEastAsia" w:hAnsiTheme="majorHAnsi" w:cstheme="majorBidi"/>
      <w:color w:val="004C4C" w:themeColor="accent1" w:themeShade="BF"/>
      <w:sz w:val="32"/>
      <w:szCs w:val="32"/>
    </w:rPr>
  </w:style>
  <w:style w:type="paragraph" w:styleId="TOCHeading">
    <w:name w:val="TOC Heading"/>
    <w:basedOn w:val="Heading1"/>
    <w:next w:val="Normal"/>
    <w:uiPriority w:val="39"/>
    <w:unhideWhenUsed/>
    <w:qFormat/>
    <w:rsid w:val="000C38C4"/>
    <w:pPr>
      <w:numPr>
        <w:numId w:val="0"/>
      </w:numPr>
      <w:outlineLvl w:val="9"/>
    </w:pPr>
  </w:style>
  <w:style w:type="paragraph" w:styleId="TOC1">
    <w:name w:val="toc 1"/>
    <w:basedOn w:val="Normal"/>
    <w:next w:val="Normal"/>
    <w:autoRedefine/>
    <w:uiPriority w:val="39"/>
    <w:unhideWhenUsed/>
    <w:rsid w:val="000C38C4"/>
    <w:pPr>
      <w:spacing w:after="100"/>
    </w:pPr>
  </w:style>
  <w:style w:type="character" w:customStyle="1" w:styleId="Heading2Char">
    <w:name w:val="Heading 2 Char"/>
    <w:basedOn w:val="DefaultParagraphFont"/>
    <w:link w:val="Heading2"/>
    <w:uiPriority w:val="9"/>
    <w:rsid w:val="000C38C4"/>
    <w:rPr>
      <w:rFonts w:asciiTheme="majorHAnsi" w:eastAsiaTheme="majorEastAsia" w:hAnsiTheme="majorHAnsi" w:cstheme="majorBidi"/>
      <w:color w:val="004C4C" w:themeColor="accent1" w:themeShade="BF"/>
      <w:sz w:val="26"/>
      <w:szCs w:val="26"/>
    </w:rPr>
  </w:style>
  <w:style w:type="paragraph" w:styleId="TOC2">
    <w:name w:val="toc 2"/>
    <w:basedOn w:val="Normal"/>
    <w:next w:val="Normal"/>
    <w:autoRedefine/>
    <w:uiPriority w:val="39"/>
    <w:unhideWhenUsed/>
    <w:rsid w:val="00D17EAF"/>
    <w:pPr>
      <w:spacing w:after="100"/>
      <w:ind w:left="220"/>
    </w:pPr>
  </w:style>
  <w:style w:type="character" w:customStyle="1" w:styleId="Heading3Char">
    <w:name w:val="Heading 3 Char"/>
    <w:basedOn w:val="DefaultParagraphFont"/>
    <w:link w:val="Heading3"/>
    <w:uiPriority w:val="9"/>
    <w:rsid w:val="00D17EAF"/>
    <w:rPr>
      <w:rFonts w:asciiTheme="majorHAnsi" w:eastAsiaTheme="majorEastAsia" w:hAnsiTheme="majorHAnsi" w:cstheme="majorBidi"/>
      <w:color w:val="003232" w:themeColor="accent1" w:themeShade="7F"/>
      <w:sz w:val="24"/>
      <w:szCs w:val="24"/>
    </w:rPr>
  </w:style>
  <w:style w:type="paragraph" w:styleId="TOC3">
    <w:name w:val="toc 3"/>
    <w:basedOn w:val="Normal"/>
    <w:next w:val="Normal"/>
    <w:autoRedefine/>
    <w:uiPriority w:val="39"/>
    <w:unhideWhenUsed/>
    <w:rsid w:val="00D17EAF"/>
    <w:pPr>
      <w:spacing w:after="100"/>
      <w:ind w:left="440"/>
    </w:pPr>
  </w:style>
  <w:style w:type="character" w:styleId="FollowedHyperlink">
    <w:name w:val="FollowedHyperlink"/>
    <w:basedOn w:val="DefaultParagraphFont"/>
    <w:uiPriority w:val="99"/>
    <w:semiHidden/>
    <w:unhideWhenUsed/>
    <w:rsid w:val="007239A3"/>
    <w:rPr>
      <w:color w:val="954F72" w:themeColor="followedHyperlink"/>
      <w:u w:val="single"/>
    </w:rPr>
  </w:style>
  <w:style w:type="table" w:styleId="TableGrid">
    <w:name w:val="Table Grid"/>
    <w:basedOn w:val="TableNormal"/>
    <w:uiPriority w:val="59"/>
    <w:rsid w:val="0052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7934"/>
    <w:pPr>
      <w:spacing w:before="100" w:beforeAutospacing="1" w:after="100" w:afterAutospacing="1" w:line="240" w:lineRule="auto"/>
    </w:pPr>
    <w:rPr>
      <w:rFonts w:ascii="Times New Roman" w:hAnsi="Times New Roman" w:cs="Times New Roman"/>
      <w:sz w:val="24"/>
      <w:szCs w:val="24"/>
    </w:rPr>
  </w:style>
  <w:style w:type="paragraph" w:styleId="IntenseQuote">
    <w:name w:val="Intense Quote"/>
    <w:basedOn w:val="Normal"/>
    <w:next w:val="Normal"/>
    <w:link w:val="IntenseQuoteChar"/>
    <w:uiPriority w:val="30"/>
    <w:qFormat/>
    <w:rsid w:val="00307934"/>
    <w:pPr>
      <w:pBdr>
        <w:bottom w:val="single" w:sz="4" w:space="4" w:color="006666" w:themeColor="accent1"/>
      </w:pBdr>
      <w:spacing w:before="200" w:after="280" w:line="240" w:lineRule="auto"/>
      <w:ind w:left="936" w:right="936"/>
    </w:pPr>
    <w:rPr>
      <w:rFonts w:ascii="Times New Roman" w:hAnsi="Times New Roman" w:cs="Times New Roman"/>
      <w:b/>
      <w:bCs/>
      <w:i/>
      <w:iCs/>
      <w:color w:val="006666" w:themeColor="accent1"/>
      <w:sz w:val="24"/>
      <w:szCs w:val="24"/>
    </w:rPr>
  </w:style>
  <w:style w:type="character" w:customStyle="1" w:styleId="IntenseQuoteChar">
    <w:name w:val="Intense Quote Char"/>
    <w:basedOn w:val="DefaultParagraphFont"/>
    <w:link w:val="IntenseQuote"/>
    <w:uiPriority w:val="30"/>
    <w:rsid w:val="00307934"/>
    <w:rPr>
      <w:rFonts w:ascii="Times New Roman" w:hAnsi="Times New Roman" w:cs="Times New Roman"/>
      <w:b/>
      <w:bCs/>
      <w:i/>
      <w:iCs/>
      <w:color w:val="006666" w:themeColor="accent1"/>
      <w:sz w:val="24"/>
      <w:szCs w:val="24"/>
    </w:rPr>
  </w:style>
  <w:style w:type="paragraph" w:styleId="Header">
    <w:name w:val="header"/>
    <w:basedOn w:val="Normal"/>
    <w:link w:val="HeaderChar"/>
    <w:uiPriority w:val="99"/>
    <w:unhideWhenUsed/>
    <w:rsid w:val="00105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A96"/>
  </w:style>
  <w:style w:type="paragraph" w:styleId="Footer">
    <w:name w:val="footer"/>
    <w:basedOn w:val="Normal"/>
    <w:link w:val="FooterChar"/>
    <w:uiPriority w:val="99"/>
    <w:unhideWhenUsed/>
    <w:rsid w:val="00105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A96"/>
  </w:style>
  <w:style w:type="table" w:customStyle="1" w:styleId="LightGrid-Accent11">
    <w:name w:val="Light Grid - Accent 11"/>
    <w:basedOn w:val="TableNormal"/>
    <w:uiPriority w:val="62"/>
    <w:rsid w:val="00E7728D"/>
    <w:pPr>
      <w:spacing w:after="0" w:line="240" w:lineRule="auto"/>
    </w:pPr>
    <w:tblPr>
      <w:tblStyleRowBandSize w:val="1"/>
      <w:tblStyleColBandSize w:val="1"/>
      <w:tblBorders>
        <w:top w:val="single" w:sz="8" w:space="0" w:color="006666" w:themeColor="accent1"/>
        <w:left w:val="single" w:sz="8" w:space="0" w:color="006666" w:themeColor="accent1"/>
        <w:bottom w:val="single" w:sz="8" w:space="0" w:color="006666" w:themeColor="accent1"/>
        <w:right w:val="single" w:sz="8" w:space="0" w:color="006666" w:themeColor="accent1"/>
        <w:insideH w:val="single" w:sz="8" w:space="0" w:color="006666" w:themeColor="accent1"/>
        <w:insideV w:val="single" w:sz="8" w:space="0" w:color="0066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66" w:themeColor="accent1"/>
          <w:left w:val="single" w:sz="8" w:space="0" w:color="006666" w:themeColor="accent1"/>
          <w:bottom w:val="single" w:sz="18" w:space="0" w:color="006666" w:themeColor="accent1"/>
          <w:right w:val="single" w:sz="8" w:space="0" w:color="006666" w:themeColor="accent1"/>
          <w:insideH w:val="nil"/>
          <w:insideV w:val="single" w:sz="8" w:space="0" w:color="0066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66" w:themeColor="accent1"/>
          <w:left w:val="single" w:sz="8" w:space="0" w:color="006666" w:themeColor="accent1"/>
          <w:bottom w:val="single" w:sz="8" w:space="0" w:color="006666" w:themeColor="accent1"/>
          <w:right w:val="single" w:sz="8" w:space="0" w:color="006666" w:themeColor="accent1"/>
          <w:insideH w:val="nil"/>
          <w:insideV w:val="single" w:sz="8" w:space="0" w:color="0066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66" w:themeColor="accent1"/>
          <w:left w:val="single" w:sz="8" w:space="0" w:color="006666" w:themeColor="accent1"/>
          <w:bottom w:val="single" w:sz="8" w:space="0" w:color="006666" w:themeColor="accent1"/>
          <w:right w:val="single" w:sz="8" w:space="0" w:color="006666" w:themeColor="accent1"/>
        </w:tcBorders>
      </w:tcPr>
    </w:tblStylePr>
    <w:tblStylePr w:type="band1Vert">
      <w:tblPr/>
      <w:tcPr>
        <w:tcBorders>
          <w:top w:val="single" w:sz="8" w:space="0" w:color="006666" w:themeColor="accent1"/>
          <w:left w:val="single" w:sz="8" w:space="0" w:color="006666" w:themeColor="accent1"/>
          <w:bottom w:val="single" w:sz="8" w:space="0" w:color="006666" w:themeColor="accent1"/>
          <w:right w:val="single" w:sz="8" w:space="0" w:color="006666" w:themeColor="accent1"/>
        </w:tcBorders>
        <w:shd w:val="clear" w:color="auto" w:fill="9AFFFF" w:themeFill="accent1" w:themeFillTint="3F"/>
      </w:tcPr>
    </w:tblStylePr>
    <w:tblStylePr w:type="band1Horz">
      <w:tblPr/>
      <w:tcPr>
        <w:tcBorders>
          <w:top w:val="single" w:sz="8" w:space="0" w:color="006666" w:themeColor="accent1"/>
          <w:left w:val="single" w:sz="8" w:space="0" w:color="006666" w:themeColor="accent1"/>
          <w:bottom w:val="single" w:sz="8" w:space="0" w:color="006666" w:themeColor="accent1"/>
          <w:right w:val="single" w:sz="8" w:space="0" w:color="006666" w:themeColor="accent1"/>
          <w:insideV w:val="single" w:sz="8" w:space="0" w:color="006666" w:themeColor="accent1"/>
        </w:tcBorders>
        <w:shd w:val="clear" w:color="auto" w:fill="9AFFFF" w:themeFill="accent1" w:themeFillTint="3F"/>
      </w:tcPr>
    </w:tblStylePr>
    <w:tblStylePr w:type="band2Horz">
      <w:tblPr/>
      <w:tcPr>
        <w:tcBorders>
          <w:top w:val="single" w:sz="8" w:space="0" w:color="006666" w:themeColor="accent1"/>
          <w:left w:val="single" w:sz="8" w:space="0" w:color="006666" w:themeColor="accent1"/>
          <w:bottom w:val="single" w:sz="8" w:space="0" w:color="006666" w:themeColor="accent1"/>
          <w:right w:val="single" w:sz="8" w:space="0" w:color="006666" w:themeColor="accent1"/>
          <w:insideV w:val="single" w:sz="8" w:space="0" w:color="006666" w:themeColor="accent1"/>
        </w:tcBorders>
      </w:tcPr>
    </w:tblStylePr>
  </w:style>
  <w:style w:type="paragraph" w:styleId="DocumentMap">
    <w:name w:val="Document Map"/>
    <w:basedOn w:val="Normal"/>
    <w:link w:val="DocumentMapChar"/>
    <w:uiPriority w:val="99"/>
    <w:semiHidden/>
    <w:unhideWhenUsed/>
    <w:rsid w:val="0008024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80240"/>
    <w:rPr>
      <w:rFonts w:ascii="Tahoma" w:hAnsi="Tahoma" w:cs="Tahoma"/>
      <w:sz w:val="16"/>
      <w:szCs w:val="16"/>
    </w:rPr>
  </w:style>
  <w:style w:type="paragraph" w:styleId="Revision">
    <w:name w:val="Revision"/>
    <w:hidden/>
    <w:uiPriority w:val="99"/>
    <w:semiHidden/>
    <w:rsid w:val="00A95DB9"/>
    <w:pPr>
      <w:spacing w:after="0" w:line="240" w:lineRule="auto"/>
    </w:pPr>
  </w:style>
  <w:style w:type="paragraph" w:customStyle="1" w:styleId="Normal1">
    <w:name w:val="Normal1"/>
    <w:rsid w:val="00565CF5"/>
    <w:pPr>
      <w:spacing w:before="200" w:after="200" w:line="276" w:lineRule="auto"/>
    </w:pPr>
    <w:rPr>
      <w:rFonts w:eastAsiaTheme="minorEastAsia"/>
      <w:lang w:bidi="en-US"/>
    </w:rPr>
  </w:style>
  <w:style w:type="character" w:customStyle="1" w:styleId="ListParagraphChar">
    <w:name w:val="List Paragraph Char"/>
    <w:basedOn w:val="DefaultParagraphFont"/>
    <w:link w:val="ListParagraph"/>
    <w:uiPriority w:val="99"/>
    <w:rsid w:val="00CB4134"/>
  </w:style>
  <w:style w:type="paragraph" w:styleId="Title">
    <w:name w:val="Title"/>
    <w:basedOn w:val="Normal"/>
    <w:next w:val="Normal"/>
    <w:link w:val="TitleChar"/>
    <w:uiPriority w:val="10"/>
    <w:qFormat/>
    <w:rsid w:val="00521CA3"/>
    <w:pPr>
      <w:pBdr>
        <w:bottom w:val="single" w:sz="8" w:space="4" w:color="006666" w:themeColor="accent1"/>
      </w:pBdr>
      <w:spacing w:after="300" w:line="240" w:lineRule="auto"/>
      <w:contextualSpacing/>
    </w:pPr>
    <w:rPr>
      <w:rFonts w:asciiTheme="majorHAnsi" w:eastAsiaTheme="majorEastAsia" w:hAnsiTheme="majorHAnsi" w:cstheme="majorBidi"/>
      <w:color w:val="BFBFBF" w:themeColor="text2" w:themeShade="BF"/>
      <w:spacing w:val="5"/>
      <w:kern w:val="28"/>
      <w:sz w:val="52"/>
      <w:szCs w:val="52"/>
    </w:rPr>
  </w:style>
  <w:style w:type="character" w:customStyle="1" w:styleId="TitleChar">
    <w:name w:val="Title Char"/>
    <w:basedOn w:val="DefaultParagraphFont"/>
    <w:link w:val="Title"/>
    <w:uiPriority w:val="10"/>
    <w:rsid w:val="00521CA3"/>
    <w:rPr>
      <w:rFonts w:asciiTheme="majorHAnsi" w:eastAsiaTheme="majorEastAsia" w:hAnsiTheme="majorHAnsi" w:cstheme="majorBidi"/>
      <w:color w:val="BFBFBF" w:themeColor="text2" w:themeShade="BF"/>
      <w:spacing w:val="5"/>
      <w:kern w:val="28"/>
      <w:sz w:val="52"/>
      <w:szCs w:val="52"/>
    </w:rPr>
  </w:style>
  <w:style w:type="paragraph" w:styleId="Subtitle">
    <w:name w:val="Subtitle"/>
    <w:basedOn w:val="Normal"/>
    <w:next w:val="Normal"/>
    <w:link w:val="SubtitleChar"/>
    <w:uiPriority w:val="11"/>
    <w:qFormat/>
    <w:rsid w:val="00521CA3"/>
    <w:pPr>
      <w:numPr>
        <w:ilvl w:val="1"/>
      </w:numPr>
    </w:pPr>
    <w:rPr>
      <w:rFonts w:asciiTheme="majorHAnsi" w:eastAsiaTheme="majorEastAsia" w:hAnsiTheme="majorHAnsi" w:cstheme="majorBidi"/>
      <w:i/>
      <w:iCs/>
      <w:color w:val="006666" w:themeColor="accent1"/>
      <w:spacing w:val="15"/>
      <w:sz w:val="24"/>
      <w:szCs w:val="24"/>
    </w:rPr>
  </w:style>
  <w:style w:type="character" w:customStyle="1" w:styleId="SubtitleChar">
    <w:name w:val="Subtitle Char"/>
    <w:basedOn w:val="DefaultParagraphFont"/>
    <w:link w:val="Subtitle"/>
    <w:uiPriority w:val="11"/>
    <w:rsid w:val="00521CA3"/>
    <w:rPr>
      <w:rFonts w:asciiTheme="majorHAnsi" w:eastAsiaTheme="majorEastAsia" w:hAnsiTheme="majorHAnsi" w:cstheme="majorBidi"/>
      <w:i/>
      <w:iCs/>
      <w:color w:val="006666" w:themeColor="accent1"/>
      <w:spacing w:val="15"/>
      <w:sz w:val="24"/>
      <w:szCs w:val="24"/>
    </w:rPr>
  </w:style>
  <w:style w:type="character" w:styleId="Emphasis">
    <w:name w:val="Emphasis"/>
    <w:basedOn w:val="DefaultParagraphFont"/>
    <w:uiPriority w:val="20"/>
    <w:qFormat/>
    <w:rsid w:val="0076718D"/>
    <w:rPr>
      <w:i/>
      <w:iCs/>
    </w:rPr>
  </w:style>
  <w:style w:type="paragraph" w:styleId="NoSpacing">
    <w:name w:val="No Spacing"/>
    <w:uiPriority w:val="1"/>
    <w:qFormat/>
    <w:rsid w:val="00326F42"/>
    <w:pPr>
      <w:spacing w:after="0" w:line="240" w:lineRule="auto"/>
    </w:pPr>
  </w:style>
  <w:style w:type="character" w:customStyle="1" w:styleId="Heading4Char">
    <w:name w:val="Heading 4 Char"/>
    <w:basedOn w:val="DefaultParagraphFont"/>
    <w:link w:val="Heading4"/>
    <w:uiPriority w:val="9"/>
    <w:rsid w:val="00B6193E"/>
    <w:rPr>
      <w:rFonts w:asciiTheme="majorHAnsi" w:eastAsiaTheme="majorEastAsia" w:hAnsiTheme="majorHAnsi" w:cstheme="majorBidi"/>
      <w:b/>
      <w:bCs/>
      <w:i/>
      <w:iCs/>
      <w:color w:val="006666" w:themeColor="accent1"/>
    </w:rPr>
  </w:style>
  <w:style w:type="table" w:customStyle="1" w:styleId="LightList-Accent11">
    <w:name w:val="Light List - Accent 11"/>
    <w:basedOn w:val="TableNormal"/>
    <w:uiPriority w:val="61"/>
    <w:rsid w:val="00282C0B"/>
    <w:pPr>
      <w:spacing w:after="0" w:line="240" w:lineRule="auto"/>
    </w:pPr>
    <w:tblPr>
      <w:tblStyleRowBandSize w:val="1"/>
      <w:tblStyleColBandSize w:val="1"/>
      <w:tblBorders>
        <w:top w:val="single" w:sz="8" w:space="0" w:color="006666" w:themeColor="accent1"/>
        <w:left w:val="single" w:sz="8" w:space="0" w:color="006666" w:themeColor="accent1"/>
        <w:bottom w:val="single" w:sz="8" w:space="0" w:color="006666" w:themeColor="accent1"/>
        <w:right w:val="single" w:sz="8" w:space="0" w:color="006666" w:themeColor="accent1"/>
      </w:tblBorders>
    </w:tblPr>
    <w:tblStylePr w:type="firstRow">
      <w:pPr>
        <w:spacing w:before="0" w:after="0" w:line="240" w:lineRule="auto"/>
      </w:pPr>
      <w:rPr>
        <w:b/>
        <w:bCs/>
        <w:color w:val="FFFFFF" w:themeColor="background1"/>
      </w:rPr>
      <w:tblPr/>
      <w:tcPr>
        <w:shd w:val="clear" w:color="auto" w:fill="006666" w:themeFill="accent1"/>
      </w:tcPr>
    </w:tblStylePr>
    <w:tblStylePr w:type="lastRow">
      <w:pPr>
        <w:spacing w:before="0" w:after="0" w:line="240" w:lineRule="auto"/>
      </w:pPr>
      <w:rPr>
        <w:b/>
        <w:bCs/>
      </w:rPr>
      <w:tblPr/>
      <w:tcPr>
        <w:tcBorders>
          <w:top w:val="double" w:sz="6" w:space="0" w:color="006666" w:themeColor="accent1"/>
          <w:left w:val="single" w:sz="8" w:space="0" w:color="006666" w:themeColor="accent1"/>
          <w:bottom w:val="single" w:sz="8" w:space="0" w:color="006666" w:themeColor="accent1"/>
          <w:right w:val="single" w:sz="8" w:space="0" w:color="006666" w:themeColor="accent1"/>
        </w:tcBorders>
      </w:tcPr>
    </w:tblStylePr>
    <w:tblStylePr w:type="firstCol">
      <w:rPr>
        <w:b/>
        <w:bCs/>
      </w:rPr>
    </w:tblStylePr>
    <w:tblStylePr w:type="lastCol">
      <w:rPr>
        <w:b/>
        <w:bCs/>
      </w:rPr>
    </w:tblStylePr>
    <w:tblStylePr w:type="band1Vert">
      <w:tblPr/>
      <w:tcPr>
        <w:tcBorders>
          <w:top w:val="single" w:sz="8" w:space="0" w:color="006666" w:themeColor="accent1"/>
          <w:left w:val="single" w:sz="8" w:space="0" w:color="006666" w:themeColor="accent1"/>
          <w:bottom w:val="single" w:sz="8" w:space="0" w:color="006666" w:themeColor="accent1"/>
          <w:right w:val="single" w:sz="8" w:space="0" w:color="006666" w:themeColor="accent1"/>
        </w:tcBorders>
      </w:tcPr>
    </w:tblStylePr>
    <w:tblStylePr w:type="band1Horz">
      <w:tblPr/>
      <w:tcPr>
        <w:tcBorders>
          <w:top w:val="single" w:sz="8" w:space="0" w:color="006666" w:themeColor="accent1"/>
          <w:left w:val="single" w:sz="8" w:space="0" w:color="006666" w:themeColor="accent1"/>
          <w:bottom w:val="single" w:sz="8" w:space="0" w:color="006666" w:themeColor="accent1"/>
          <w:right w:val="single" w:sz="8" w:space="0" w:color="006666" w:themeColor="accent1"/>
        </w:tcBorders>
      </w:tcPr>
    </w:tblStylePr>
  </w:style>
  <w:style w:type="table" w:styleId="LightList-Accent4">
    <w:name w:val="Light List Accent 4"/>
    <w:basedOn w:val="TableNormal"/>
    <w:uiPriority w:val="61"/>
    <w:rsid w:val="00282C0B"/>
    <w:pPr>
      <w:spacing w:after="0" w:line="240" w:lineRule="auto"/>
    </w:pPr>
    <w:tblPr>
      <w:tblStyleRowBandSize w:val="1"/>
      <w:tblStyleColBandSize w:val="1"/>
      <w:tblBorders>
        <w:top w:val="single" w:sz="8" w:space="0" w:color="006666" w:themeColor="accent4"/>
        <w:left w:val="single" w:sz="8" w:space="0" w:color="006666" w:themeColor="accent4"/>
        <w:bottom w:val="single" w:sz="8" w:space="0" w:color="006666" w:themeColor="accent4"/>
        <w:right w:val="single" w:sz="8" w:space="0" w:color="006666" w:themeColor="accent4"/>
      </w:tblBorders>
    </w:tblPr>
    <w:tblStylePr w:type="firstRow">
      <w:pPr>
        <w:spacing w:before="0" w:after="0" w:line="240" w:lineRule="auto"/>
      </w:pPr>
      <w:rPr>
        <w:b/>
        <w:bCs/>
        <w:color w:val="FFFFFF" w:themeColor="background1"/>
      </w:rPr>
      <w:tblPr/>
      <w:tcPr>
        <w:shd w:val="clear" w:color="auto" w:fill="006666" w:themeFill="accent4"/>
      </w:tcPr>
    </w:tblStylePr>
    <w:tblStylePr w:type="lastRow">
      <w:pPr>
        <w:spacing w:before="0" w:after="0" w:line="240" w:lineRule="auto"/>
      </w:pPr>
      <w:rPr>
        <w:b/>
        <w:bCs/>
      </w:rPr>
      <w:tblPr/>
      <w:tcPr>
        <w:tcBorders>
          <w:top w:val="double" w:sz="6" w:space="0" w:color="006666" w:themeColor="accent4"/>
          <w:left w:val="single" w:sz="8" w:space="0" w:color="006666" w:themeColor="accent4"/>
          <w:bottom w:val="single" w:sz="8" w:space="0" w:color="006666" w:themeColor="accent4"/>
          <w:right w:val="single" w:sz="8" w:space="0" w:color="006666" w:themeColor="accent4"/>
        </w:tcBorders>
      </w:tcPr>
    </w:tblStylePr>
    <w:tblStylePr w:type="firstCol">
      <w:rPr>
        <w:b/>
        <w:bCs/>
      </w:rPr>
    </w:tblStylePr>
    <w:tblStylePr w:type="lastCol">
      <w:rPr>
        <w:b/>
        <w:bCs/>
      </w:rPr>
    </w:tblStylePr>
    <w:tblStylePr w:type="band1Vert">
      <w:tblPr/>
      <w:tcPr>
        <w:tcBorders>
          <w:top w:val="single" w:sz="8" w:space="0" w:color="006666" w:themeColor="accent4"/>
          <w:left w:val="single" w:sz="8" w:space="0" w:color="006666" w:themeColor="accent4"/>
          <w:bottom w:val="single" w:sz="8" w:space="0" w:color="006666" w:themeColor="accent4"/>
          <w:right w:val="single" w:sz="8" w:space="0" w:color="006666" w:themeColor="accent4"/>
        </w:tcBorders>
      </w:tcPr>
    </w:tblStylePr>
    <w:tblStylePr w:type="band1Horz">
      <w:tblPr/>
      <w:tcPr>
        <w:tcBorders>
          <w:top w:val="single" w:sz="8" w:space="0" w:color="006666" w:themeColor="accent4"/>
          <w:left w:val="single" w:sz="8" w:space="0" w:color="006666" w:themeColor="accent4"/>
          <w:bottom w:val="single" w:sz="8" w:space="0" w:color="006666" w:themeColor="accent4"/>
          <w:right w:val="single" w:sz="8" w:space="0" w:color="006666" w:themeColor="accent4"/>
        </w:tcBorders>
      </w:tcPr>
    </w:tblStylePr>
  </w:style>
  <w:style w:type="table" w:styleId="LightList-Accent3">
    <w:name w:val="Light List Accent 3"/>
    <w:basedOn w:val="TableNormal"/>
    <w:uiPriority w:val="61"/>
    <w:rsid w:val="00282C0B"/>
    <w:pPr>
      <w:spacing w:after="0" w:line="240" w:lineRule="auto"/>
    </w:pPr>
    <w:tblPr>
      <w:tblStyleRowBandSize w:val="1"/>
      <w:tblStyleColBandSize w:val="1"/>
      <w:tblBorders>
        <w:top w:val="single" w:sz="8" w:space="0" w:color="006666" w:themeColor="accent3"/>
        <w:left w:val="single" w:sz="8" w:space="0" w:color="006666" w:themeColor="accent3"/>
        <w:bottom w:val="single" w:sz="8" w:space="0" w:color="006666" w:themeColor="accent3"/>
        <w:right w:val="single" w:sz="8" w:space="0" w:color="006666" w:themeColor="accent3"/>
      </w:tblBorders>
    </w:tblPr>
    <w:tblStylePr w:type="firstRow">
      <w:pPr>
        <w:spacing w:before="0" w:after="0" w:line="240" w:lineRule="auto"/>
      </w:pPr>
      <w:rPr>
        <w:b/>
        <w:bCs/>
        <w:color w:val="FFFFFF" w:themeColor="background1"/>
      </w:rPr>
      <w:tblPr/>
      <w:tcPr>
        <w:shd w:val="clear" w:color="auto" w:fill="006666" w:themeFill="accent3"/>
      </w:tcPr>
    </w:tblStylePr>
    <w:tblStylePr w:type="lastRow">
      <w:pPr>
        <w:spacing w:before="0" w:after="0" w:line="240" w:lineRule="auto"/>
      </w:pPr>
      <w:rPr>
        <w:b/>
        <w:bCs/>
      </w:rPr>
      <w:tblPr/>
      <w:tcPr>
        <w:tcBorders>
          <w:top w:val="double" w:sz="6" w:space="0" w:color="006666" w:themeColor="accent3"/>
          <w:left w:val="single" w:sz="8" w:space="0" w:color="006666" w:themeColor="accent3"/>
          <w:bottom w:val="single" w:sz="8" w:space="0" w:color="006666" w:themeColor="accent3"/>
          <w:right w:val="single" w:sz="8" w:space="0" w:color="006666" w:themeColor="accent3"/>
        </w:tcBorders>
      </w:tcPr>
    </w:tblStylePr>
    <w:tblStylePr w:type="firstCol">
      <w:rPr>
        <w:b/>
        <w:bCs/>
      </w:rPr>
    </w:tblStylePr>
    <w:tblStylePr w:type="lastCol">
      <w:rPr>
        <w:b/>
        <w:bCs/>
      </w:rPr>
    </w:tblStylePr>
    <w:tblStylePr w:type="band1Vert">
      <w:tblPr/>
      <w:tcPr>
        <w:tcBorders>
          <w:top w:val="single" w:sz="8" w:space="0" w:color="006666" w:themeColor="accent3"/>
          <w:left w:val="single" w:sz="8" w:space="0" w:color="006666" w:themeColor="accent3"/>
          <w:bottom w:val="single" w:sz="8" w:space="0" w:color="006666" w:themeColor="accent3"/>
          <w:right w:val="single" w:sz="8" w:space="0" w:color="006666" w:themeColor="accent3"/>
        </w:tcBorders>
      </w:tcPr>
    </w:tblStylePr>
    <w:tblStylePr w:type="band1Horz">
      <w:tblPr/>
      <w:tcPr>
        <w:tcBorders>
          <w:top w:val="single" w:sz="8" w:space="0" w:color="006666" w:themeColor="accent3"/>
          <w:left w:val="single" w:sz="8" w:space="0" w:color="006666" w:themeColor="accent3"/>
          <w:bottom w:val="single" w:sz="8" w:space="0" w:color="006666" w:themeColor="accent3"/>
          <w:right w:val="single" w:sz="8" w:space="0" w:color="006666" w:themeColor="accent3"/>
        </w:tcBorders>
      </w:tcPr>
    </w:tblStylePr>
  </w:style>
  <w:style w:type="table" w:styleId="LightShading-Accent6">
    <w:name w:val="Light Shading Accent 6"/>
    <w:basedOn w:val="TableNormal"/>
    <w:uiPriority w:val="60"/>
    <w:rsid w:val="00282C0B"/>
    <w:pPr>
      <w:spacing w:after="0" w:line="240" w:lineRule="auto"/>
    </w:pPr>
    <w:rPr>
      <w:color w:val="004C4C" w:themeColor="accent6" w:themeShade="BF"/>
    </w:rPr>
    <w:tblPr>
      <w:tblStyleRowBandSize w:val="1"/>
      <w:tblStyleColBandSize w:val="1"/>
      <w:tblBorders>
        <w:top w:val="single" w:sz="8" w:space="0" w:color="006666" w:themeColor="accent6"/>
        <w:bottom w:val="single" w:sz="8" w:space="0" w:color="006666" w:themeColor="accent6"/>
      </w:tblBorders>
    </w:tblPr>
    <w:tblStylePr w:type="firstRow">
      <w:pPr>
        <w:spacing w:before="0" w:after="0" w:line="240" w:lineRule="auto"/>
      </w:pPr>
      <w:rPr>
        <w:b/>
        <w:bCs/>
      </w:rPr>
      <w:tblPr/>
      <w:tcPr>
        <w:tcBorders>
          <w:top w:val="single" w:sz="8" w:space="0" w:color="006666" w:themeColor="accent6"/>
          <w:left w:val="nil"/>
          <w:bottom w:val="single" w:sz="8" w:space="0" w:color="006666" w:themeColor="accent6"/>
          <w:right w:val="nil"/>
          <w:insideH w:val="nil"/>
          <w:insideV w:val="nil"/>
        </w:tcBorders>
      </w:tcPr>
    </w:tblStylePr>
    <w:tblStylePr w:type="lastRow">
      <w:pPr>
        <w:spacing w:before="0" w:after="0" w:line="240" w:lineRule="auto"/>
      </w:pPr>
      <w:rPr>
        <w:b/>
        <w:bCs/>
      </w:rPr>
      <w:tblPr/>
      <w:tcPr>
        <w:tcBorders>
          <w:top w:val="single" w:sz="8" w:space="0" w:color="006666" w:themeColor="accent6"/>
          <w:left w:val="nil"/>
          <w:bottom w:val="single" w:sz="8" w:space="0" w:color="0066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FF" w:themeFill="accent6" w:themeFillTint="3F"/>
      </w:tcPr>
    </w:tblStylePr>
    <w:tblStylePr w:type="band1Horz">
      <w:tblPr/>
      <w:tcPr>
        <w:tcBorders>
          <w:left w:val="nil"/>
          <w:right w:val="nil"/>
          <w:insideH w:val="nil"/>
          <w:insideV w:val="nil"/>
        </w:tcBorders>
        <w:shd w:val="clear" w:color="auto" w:fill="9AFFFF" w:themeFill="accent6" w:themeFillTint="3F"/>
      </w:tcPr>
    </w:tblStylePr>
  </w:style>
  <w:style w:type="table" w:styleId="LightShading-Accent4">
    <w:name w:val="Light Shading Accent 4"/>
    <w:basedOn w:val="TableNormal"/>
    <w:uiPriority w:val="60"/>
    <w:rsid w:val="00282C0B"/>
    <w:pPr>
      <w:spacing w:after="0" w:line="240" w:lineRule="auto"/>
    </w:pPr>
    <w:rPr>
      <w:color w:val="004C4C" w:themeColor="accent4" w:themeShade="BF"/>
    </w:rPr>
    <w:tblPr>
      <w:tblStyleRowBandSize w:val="1"/>
      <w:tblStyleColBandSize w:val="1"/>
      <w:tblBorders>
        <w:top w:val="single" w:sz="8" w:space="0" w:color="006666" w:themeColor="accent4"/>
        <w:bottom w:val="single" w:sz="8" w:space="0" w:color="006666" w:themeColor="accent4"/>
      </w:tblBorders>
    </w:tblPr>
    <w:tblStylePr w:type="firstRow">
      <w:pPr>
        <w:spacing w:before="0" w:after="0" w:line="240" w:lineRule="auto"/>
      </w:pPr>
      <w:rPr>
        <w:b/>
        <w:bCs/>
      </w:rPr>
      <w:tblPr/>
      <w:tcPr>
        <w:tcBorders>
          <w:top w:val="single" w:sz="8" w:space="0" w:color="006666" w:themeColor="accent4"/>
          <w:left w:val="nil"/>
          <w:bottom w:val="single" w:sz="8" w:space="0" w:color="006666" w:themeColor="accent4"/>
          <w:right w:val="nil"/>
          <w:insideH w:val="nil"/>
          <w:insideV w:val="nil"/>
        </w:tcBorders>
      </w:tcPr>
    </w:tblStylePr>
    <w:tblStylePr w:type="lastRow">
      <w:pPr>
        <w:spacing w:before="0" w:after="0" w:line="240" w:lineRule="auto"/>
      </w:pPr>
      <w:rPr>
        <w:b/>
        <w:bCs/>
      </w:rPr>
      <w:tblPr/>
      <w:tcPr>
        <w:tcBorders>
          <w:top w:val="single" w:sz="8" w:space="0" w:color="006666" w:themeColor="accent4"/>
          <w:left w:val="nil"/>
          <w:bottom w:val="single" w:sz="8" w:space="0" w:color="00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FF" w:themeFill="accent4" w:themeFillTint="3F"/>
      </w:tcPr>
    </w:tblStylePr>
    <w:tblStylePr w:type="band1Horz">
      <w:tblPr/>
      <w:tcPr>
        <w:tcBorders>
          <w:left w:val="nil"/>
          <w:right w:val="nil"/>
          <w:insideH w:val="nil"/>
          <w:insideV w:val="nil"/>
        </w:tcBorders>
        <w:shd w:val="clear" w:color="auto" w:fill="9AFFFF" w:themeFill="accent4" w:themeFillTint="3F"/>
      </w:tcPr>
    </w:tblStylePr>
  </w:style>
  <w:style w:type="table" w:customStyle="1" w:styleId="LightShading-Accent11">
    <w:name w:val="Light Shading - Accent 11"/>
    <w:basedOn w:val="TableNormal"/>
    <w:uiPriority w:val="60"/>
    <w:rsid w:val="00282C0B"/>
    <w:pPr>
      <w:spacing w:after="0" w:line="240" w:lineRule="auto"/>
    </w:pPr>
    <w:rPr>
      <w:color w:val="004C4C" w:themeColor="accent1" w:themeShade="BF"/>
    </w:rPr>
    <w:tblPr>
      <w:tblStyleRowBandSize w:val="1"/>
      <w:tblStyleColBandSize w:val="1"/>
      <w:tblBorders>
        <w:top w:val="single" w:sz="8" w:space="0" w:color="006666" w:themeColor="accent1"/>
        <w:bottom w:val="single" w:sz="8" w:space="0" w:color="006666" w:themeColor="accent1"/>
      </w:tblBorders>
    </w:tblPr>
    <w:tblStylePr w:type="firstRow">
      <w:pPr>
        <w:spacing w:before="0" w:after="0" w:line="240" w:lineRule="auto"/>
      </w:pPr>
      <w:rPr>
        <w:b/>
        <w:bCs/>
      </w:rPr>
      <w:tblPr/>
      <w:tcPr>
        <w:tcBorders>
          <w:top w:val="single" w:sz="8" w:space="0" w:color="006666" w:themeColor="accent1"/>
          <w:left w:val="nil"/>
          <w:bottom w:val="single" w:sz="8" w:space="0" w:color="006666" w:themeColor="accent1"/>
          <w:right w:val="nil"/>
          <w:insideH w:val="nil"/>
          <w:insideV w:val="nil"/>
        </w:tcBorders>
      </w:tcPr>
    </w:tblStylePr>
    <w:tblStylePr w:type="lastRow">
      <w:pPr>
        <w:spacing w:before="0" w:after="0" w:line="240" w:lineRule="auto"/>
      </w:pPr>
      <w:rPr>
        <w:b/>
        <w:bCs/>
      </w:rPr>
      <w:tblPr/>
      <w:tcPr>
        <w:tcBorders>
          <w:top w:val="single" w:sz="8" w:space="0" w:color="006666" w:themeColor="accent1"/>
          <w:left w:val="nil"/>
          <w:bottom w:val="single" w:sz="8" w:space="0" w:color="0066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FF" w:themeFill="accent1" w:themeFillTint="3F"/>
      </w:tcPr>
    </w:tblStylePr>
    <w:tblStylePr w:type="band1Horz">
      <w:tblPr/>
      <w:tcPr>
        <w:tcBorders>
          <w:left w:val="nil"/>
          <w:right w:val="nil"/>
          <w:insideH w:val="nil"/>
          <w:insideV w:val="nil"/>
        </w:tcBorders>
        <w:shd w:val="clear" w:color="auto" w:fill="9AFFFF" w:themeFill="accent1" w:themeFillTint="3F"/>
      </w:tcPr>
    </w:tblStylePr>
  </w:style>
  <w:style w:type="table" w:styleId="LightShading-Accent2">
    <w:name w:val="Light Shading Accent 2"/>
    <w:basedOn w:val="TableNormal"/>
    <w:uiPriority w:val="60"/>
    <w:rsid w:val="00282C0B"/>
    <w:pPr>
      <w:spacing w:after="0" w:line="240" w:lineRule="auto"/>
    </w:pPr>
    <w:rPr>
      <w:color w:val="004C4C" w:themeColor="accent2" w:themeShade="BF"/>
    </w:rPr>
    <w:tblPr>
      <w:tblStyleRowBandSize w:val="1"/>
      <w:tblStyleColBandSize w:val="1"/>
      <w:tblBorders>
        <w:top w:val="single" w:sz="8" w:space="0" w:color="006666" w:themeColor="accent2"/>
        <w:bottom w:val="single" w:sz="8" w:space="0" w:color="006666" w:themeColor="accent2"/>
      </w:tblBorders>
    </w:tblPr>
    <w:tblStylePr w:type="firstRow">
      <w:pPr>
        <w:spacing w:before="0" w:after="0" w:line="240" w:lineRule="auto"/>
      </w:pPr>
      <w:rPr>
        <w:b/>
        <w:bCs/>
      </w:rPr>
      <w:tblPr/>
      <w:tcPr>
        <w:tcBorders>
          <w:top w:val="single" w:sz="8" w:space="0" w:color="006666" w:themeColor="accent2"/>
          <w:left w:val="nil"/>
          <w:bottom w:val="single" w:sz="8" w:space="0" w:color="006666" w:themeColor="accent2"/>
          <w:right w:val="nil"/>
          <w:insideH w:val="nil"/>
          <w:insideV w:val="nil"/>
        </w:tcBorders>
      </w:tcPr>
    </w:tblStylePr>
    <w:tblStylePr w:type="lastRow">
      <w:pPr>
        <w:spacing w:before="0" w:after="0" w:line="240" w:lineRule="auto"/>
      </w:pPr>
      <w:rPr>
        <w:b/>
        <w:bCs/>
      </w:rPr>
      <w:tblPr/>
      <w:tcPr>
        <w:tcBorders>
          <w:top w:val="single" w:sz="8" w:space="0" w:color="006666" w:themeColor="accent2"/>
          <w:left w:val="nil"/>
          <w:bottom w:val="single" w:sz="8" w:space="0" w:color="0066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FF" w:themeFill="accent2" w:themeFillTint="3F"/>
      </w:tcPr>
    </w:tblStylePr>
    <w:tblStylePr w:type="band1Horz">
      <w:tblPr/>
      <w:tcPr>
        <w:tcBorders>
          <w:left w:val="nil"/>
          <w:right w:val="nil"/>
          <w:insideH w:val="nil"/>
          <w:insideV w:val="nil"/>
        </w:tcBorders>
        <w:shd w:val="clear" w:color="auto" w:fill="9AFFFF" w:themeFill="accent2" w:themeFillTint="3F"/>
      </w:tcPr>
    </w:tblStylePr>
  </w:style>
  <w:style w:type="paragraph" w:styleId="FootnoteText">
    <w:name w:val="footnote text"/>
    <w:basedOn w:val="Normal"/>
    <w:link w:val="FootnoteTextChar"/>
    <w:uiPriority w:val="99"/>
    <w:semiHidden/>
    <w:unhideWhenUsed/>
    <w:rsid w:val="00006F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FBA"/>
    <w:rPr>
      <w:sz w:val="20"/>
      <w:szCs w:val="20"/>
    </w:rPr>
  </w:style>
  <w:style w:type="character" w:styleId="FootnoteReference">
    <w:name w:val="footnote reference"/>
    <w:basedOn w:val="DefaultParagraphFont"/>
    <w:uiPriority w:val="99"/>
    <w:semiHidden/>
    <w:unhideWhenUsed/>
    <w:rsid w:val="00006FBA"/>
    <w:rPr>
      <w:vertAlign w:val="superscript"/>
    </w:rPr>
  </w:style>
  <w:style w:type="paragraph" w:customStyle="1" w:styleId="Default">
    <w:name w:val="Default"/>
    <w:rsid w:val="00504C35"/>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sid w:val="003F4309"/>
    <w:rPr>
      <w:b/>
      <w:bCs/>
      <w:i/>
      <w:iCs/>
      <w:color w:val="006666" w:themeColor="accent1"/>
    </w:rPr>
  </w:style>
  <w:style w:type="paragraph" w:styleId="Quote">
    <w:name w:val="Quote"/>
    <w:basedOn w:val="Normal"/>
    <w:next w:val="Normal"/>
    <w:link w:val="QuoteChar"/>
    <w:uiPriority w:val="29"/>
    <w:qFormat/>
    <w:rsid w:val="000B4529"/>
    <w:rPr>
      <w:i/>
      <w:iCs/>
      <w:color w:val="FF9900" w:themeColor="text1"/>
    </w:rPr>
  </w:style>
  <w:style w:type="character" w:customStyle="1" w:styleId="QuoteChar">
    <w:name w:val="Quote Char"/>
    <w:basedOn w:val="DefaultParagraphFont"/>
    <w:link w:val="Quote"/>
    <w:uiPriority w:val="29"/>
    <w:rsid w:val="000B4529"/>
    <w:rPr>
      <w:i/>
      <w:iCs/>
      <w:color w:val="FF9900" w:themeColor="text1"/>
    </w:rPr>
  </w:style>
  <w:style w:type="table" w:styleId="MediumShading2-Accent6">
    <w:name w:val="Medium Shading 2 Accent 6"/>
    <w:basedOn w:val="TableNormal"/>
    <w:uiPriority w:val="64"/>
    <w:rsid w:val="000844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666" w:themeFill="accent6"/>
      </w:tcPr>
    </w:tblStylePr>
    <w:tblStylePr w:type="lastCol">
      <w:rPr>
        <w:b/>
        <w:bCs/>
        <w:color w:val="FFFFFF" w:themeColor="background1"/>
      </w:rPr>
      <w:tblPr/>
      <w:tcPr>
        <w:tcBorders>
          <w:left w:val="nil"/>
          <w:right w:val="nil"/>
          <w:insideH w:val="nil"/>
          <w:insideV w:val="nil"/>
        </w:tcBorders>
        <w:shd w:val="clear" w:color="auto" w:fill="00666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CD1D5F"/>
    <w:rPr>
      <w:color w:val="2B579A"/>
      <w:shd w:val="clear" w:color="auto" w:fill="E6E6E6"/>
    </w:rPr>
  </w:style>
  <w:style w:type="character" w:styleId="UnresolvedMention">
    <w:name w:val="Unresolved Mention"/>
    <w:basedOn w:val="DefaultParagraphFont"/>
    <w:uiPriority w:val="99"/>
    <w:semiHidden/>
    <w:unhideWhenUsed/>
    <w:rsid w:val="00A55480"/>
    <w:rPr>
      <w:color w:val="808080"/>
      <w:shd w:val="clear" w:color="auto" w:fill="E6E6E6"/>
    </w:rPr>
  </w:style>
  <w:style w:type="character" w:styleId="Strong">
    <w:name w:val="Strong"/>
    <w:basedOn w:val="DefaultParagraphFont"/>
    <w:uiPriority w:val="22"/>
    <w:qFormat/>
    <w:rsid w:val="00B60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398">
      <w:bodyDiv w:val="1"/>
      <w:marLeft w:val="0"/>
      <w:marRight w:val="0"/>
      <w:marTop w:val="0"/>
      <w:marBottom w:val="0"/>
      <w:divBdr>
        <w:top w:val="none" w:sz="0" w:space="0" w:color="auto"/>
        <w:left w:val="none" w:sz="0" w:space="0" w:color="auto"/>
        <w:bottom w:val="none" w:sz="0" w:space="0" w:color="auto"/>
        <w:right w:val="none" w:sz="0" w:space="0" w:color="auto"/>
      </w:divBdr>
    </w:div>
    <w:div w:id="174464857">
      <w:bodyDiv w:val="1"/>
      <w:marLeft w:val="0"/>
      <w:marRight w:val="0"/>
      <w:marTop w:val="0"/>
      <w:marBottom w:val="0"/>
      <w:divBdr>
        <w:top w:val="none" w:sz="0" w:space="0" w:color="auto"/>
        <w:left w:val="none" w:sz="0" w:space="0" w:color="auto"/>
        <w:bottom w:val="none" w:sz="0" w:space="0" w:color="auto"/>
        <w:right w:val="none" w:sz="0" w:space="0" w:color="auto"/>
      </w:divBdr>
    </w:div>
    <w:div w:id="197159408">
      <w:bodyDiv w:val="1"/>
      <w:marLeft w:val="0"/>
      <w:marRight w:val="0"/>
      <w:marTop w:val="0"/>
      <w:marBottom w:val="0"/>
      <w:divBdr>
        <w:top w:val="none" w:sz="0" w:space="0" w:color="auto"/>
        <w:left w:val="none" w:sz="0" w:space="0" w:color="auto"/>
        <w:bottom w:val="none" w:sz="0" w:space="0" w:color="auto"/>
        <w:right w:val="none" w:sz="0" w:space="0" w:color="auto"/>
      </w:divBdr>
    </w:div>
    <w:div w:id="395670276">
      <w:bodyDiv w:val="1"/>
      <w:marLeft w:val="0"/>
      <w:marRight w:val="0"/>
      <w:marTop w:val="0"/>
      <w:marBottom w:val="0"/>
      <w:divBdr>
        <w:top w:val="none" w:sz="0" w:space="0" w:color="auto"/>
        <w:left w:val="none" w:sz="0" w:space="0" w:color="auto"/>
        <w:bottom w:val="none" w:sz="0" w:space="0" w:color="auto"/>
        <w:right w:val="none" w:sz="0" w:space="0" w:color="auto"/>
      </w:divBdr>
    </w:div>
    <w:div w:id="1159928957">
      <w:bodyDiv w:val="1"/>
      <w:marLeft w:val="0"/>
      <w:marRight w:val="0"/>
      <w:marTop w:val="0"/>
      <w:marBottom w:val="0"/>
      <w:divBdr>
        <w:top w:val="none" w:sz="0" w:space="0" w:color="auto"/>
        <w:left w:val="none" w:sz="0" w:space="0" w:color="auto"/>
        <w:bottom w:val="none" w:sz="0" w:space="0" w:color="auto"/>
        <w:right w:val="none" w:sz="0" w:space="0" w:color="auto"/>
      </w:divBdr>
      <w:divsChild>
        <w:div w:id="1574394921">
          <w:marLeft w:val="446"/>
          <w:marRight w:val="0"/>
          <w:marTop w:val="0"/>
          <w:marBottom w:val="0"/>
          <w:divBdr>
            <w:top w:val="none" w:sz="0" w:space="0" w:color="auto"/>
            <w:left w:val="none" w:sz="0" w:space="0" w:color="auto"/>
            <w:bottom w:val="none" w:sz="0" w:space="0" w:color="auto"/>
            <w:right w:val="none" w:sz="0" w:space="0" w:color="auto"/>
          </w:divBdr>
        </w:div>
      </w:divsChild>
    </w:div>
    <w:div w:id="1397781678">
      <w:bodyDiv w:val="1"/>
      <w:marLeft w:val="0"/>
      <w:marRight w:val="0"/>
      <w:marTop w:val="0"/>
      <w:marBottom w:val="0"/>
      <w:divBdr>
        <w:top w:val="none" w:sz="0" w:space="0" w:color="auto"/>
        <w:left w:val="none" w:sz="0" w:space="0" w:color="auto"/>
        <w:bottom w:val="none" w:sz="0" w:space="0" w:color="auto"/>
        <w:right w:val="none" w:sz="0" w:space="0" w:color="auto"/>
      </w:divBdr>
    </w:div>
    <w:div w:id="1671181253">
      <w:bodyDiv w:val="1"/>
      <w:marLeft w:val="0"/>
      <w:marRight w:val="0"/>
      <w:marTop w:val="0"/>
      <w:marBottom w:val="0"/>
      <w:divBdr>
        <w:top w:val="none" w:sz="0" w:space="0" w:color="auto"/>
        <w:left w:val="none" w:sz="0" w:space="0" w:color="auto"/>
        <w:bottom w:val="none" w:sz="0" w:space="0" w:color="auto"/>
        <w:right w:val="none" w:sz="0" w:space="0" w:color="auto"/>
      </w:divBdr>
    </w:div>
    <w:div w:id="1674260018">
      <w:bodyDiv w:val="1"/>
      <w:marLeft w:val="0"/>
      <w:marRight w:val="0"/>
      <w:marTop w:val="0"/>
      <w:marBottom w:val="0"/>
      <w:divBdr>
        <w:top w:val="none" w:sz="0" w:space="0" w:color="auto"/>
        <w:left w:val="none" w:sz="0" w:space="0" w:color="auto"/>
        <w:bottom w:val="none" w:sz="0" w:space="0" w:color="auto"/>
        <w:right w:val="none" w:sz="0" w:space="0" w:color="auto"/>
      </w:divBdr>
    </w:div>
    <w:div w:id="1876696352">
      <w:bodyDiv w:val="1"/>
      <w:marLeft w:val="0"/>
      <w:marRight w:val="0"/>
      <w:marTop w:val="0"/>
      <w:marBottom w:val="0"/>
      <w:divBdr>
        <w:top w:val="none" w:sz="0" w:space="0" w:color="auto"/>
        <w:left w:val="none" w:sz="0" w:space="0" w:color="auto"/>
        <w:bottom w:val="none" w:sz="0" w:space="0" w:color="auto"/>
        <w:right w:val="none" w:sz="0" w:space="0" w:color="auto"/>
      </w:divBdr>
    </w:div>
    <w:div w:id="2072608503">
      <w:bodyDiv w:val="1"/>
      <w:marLeft w:val="0"/>
      <w:marRight w:val="0"/>
      <w:marTop w:val="0"/>
      <w:marBottom w:val="0"/>
      <w:divBdr>
        <w:top w:val="none" w:sz="0" w:space="0" w:color="auto"/>
        <w:left w:val="none" w:sz="0" w:space="0" w:color="auto"/>
        <w:bottom w:val="none" w:sz="0" w:space="0" w:color="auto"/>
        <w:right w:val="none" w:sz="0" w:space="0" w:color="auto"/>
      </w:divBdr>
    </w:div>
    <w:div w:id="213340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v8P4l_Azjnw&amp;t=144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fs24.formsite.com/YLmyr1/q6ywesm8af/index" TargetMode="External"/><Relationship Id="rId17" Type="http://schemas.openxmlformats.org/officeDocument/2006/relationships/hyperlink" Target="https://fs24.formsite.com/YLmyr1/q6ywesm8af/inde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brary.municode.com/co/boulder/codes/municipal_code?nodeId=TIT10ST_CH7.7COINENE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usgbc.org/leed/rating-systems/existing-building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nergystar.gov/buildings/facility-owners-and-managers/existing-buildings/earn-recognition/energy-star-certification"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energystar.gov/buildings/service_providers/verify/pro_bono_verification_energy_star_applications" TargetMode="External"/><Relationship Id="rId2" Type="http://schemas.openxmlformats.org/officeDocument/2006/relationships/hyperlink" Target="https://www.energystar.gov/buildings/facility-owners-and-managers/existing-buildings/earn-recognition/energy-star-certification/tips-low" TargetMode="External"/><Relationship Id="rId1" Type="http://schemas.openxmlformats.org/officeDocument/2006/relationships/hyperlink" Target="http://www.BoulderBuildingPerformance.com" TargetMode="External"/><Relationship Id="rId4" Type="http://schemas.openxmlformats.org/officeDocument/2006/relationships/hyperlink" Target="https://www.colorado.gov/pacific/dora/open-records-cora-requests" TargetMode="External"/></Relationships>
</file>

<file path=word/theme/theme1.xml><?xml version="1.0" encoding="utf-8"?>
<a:theme xmlns:a="http://schemas.openxmlformats.org/drawingml/2006/main" name="Office Theme">
  <a:themeElements>
    <a:clrScheme name="Custom 3">
      <a:dk1>
        <a:srgbClr val="FF9900"/>
      </a:dk1>
      <a:lt1>
        <a:sysClr val="window" lastClr="FFFFFF"/>
      </a:lt1>
      <a:dk2>
        <a:srgbClr val="FFFFFF"/>
      </a:dk2>
      <a:lt2>
        <a:srgbClr val="FFFFFF"/>
      </a:lt2>
      <a:accent1>
        <a:srgbClr val="006666"/>
      </a:accent1>
      <a:accent2>
        <a:srgbClr val="006666"/>
      </a:accent2>
      <a:accent3>
        <a:srgbClr val="006666"/>
      </a:accent3>
      <a:accent4>
        <a:srgbClr val="006666"/>
      </a:accent4>
      <a:accent5>
        <a:srgbClr val="006666"/>
      </a:accent5>
      <a:accent6>
        <a:srgbClr val="006666"/>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967e8fb-135a-4813-91f6-dfd143e5f1f5">
      <UserInfo>
        <DisplayName/>
        <AccountId xsi:nil="true"/>
        <AccountType/>
      </UserInfo>
    </SharedWithUsers>
    <TaxCatchAll xmlns="fa5a287d-e8d7-4515-878e-e2d26d40b308" xsi:nil="true"/>
    <lcf76f155ced4ddcb4097134ff3c332f xmlns="a185a935-ba3f-496a-b001-2f31da7152f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0314EDECDC3E408AA8DC6E865F38F6" ma:contentTypeVersion="22" ma:contentTypeDescription="Create a new document." ma:contentTypeScope="" ma:versionID="a0472682a17e8c485b94d3ef4ead560b">
  <xsd:schema xmlns:xsd="http://www.w3.org/2001/XMLSchema" xmlns:xs="http://www.w3.org/2001/XMLSchema" xmlns:p="http://schemas.microsoft.com/office/2006/metadata/properties" xmlns:ns2="1a00750f-d101-47d7-b42c-3755e39e899d" xmlns:ns3="6967e8fb-135a-4813-91f6-dfd143e5f1f5" xmlns:ns4="a185a935-ba3f-496a-b001-2f31da7152f8" xmlns:ns5="fa5a287d-e8d7-4515-878e-e2d26d40b308" targetNamespace="http://schemas.microsoft.com/office/2006/metadata/properties" ma:root="true" ma:fieldsID="ef221d3e557715ae6cc52cc932536135" ns2:_="" ns3:_="" ns4:_="" ns5:_="">
    <xsd:import namespace="1a00750f-d101-47d7-b42c-3755e39e899d"/>
    <xsd:import namespace="6967e8fb-135a-4813-91f6-dfd143e5f1f5"/>
    <xsd:import namespace="a185a935-ba3f-496a-b001-2f31da7152f8"/>
    <xsd:import namespace="fa5a287d-e8d7-4515-878e-e2d26d40b3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0750f-d101-47d7-b42c-3755e39e8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67e8fb-135a-4813-91f6-dfd143e5f1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85a935-ba3f-496a-b001-2f31da7152f8" elementFormDefault="qualified">
    <xsd:import namespace="http://schemas.microsoft.com/office/2006/documentManagement/types"/>
    <xsd:import namespace="http://schemas.microsoft.com/office/infopath/2007/PartnerControls"/>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a287d-e8d7-4515-878e-e2d26d40b30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b848c5e-4a01-4470-aae2-b676f4557d41}" ma:internalName="TaxCatchAll" ma:showField="CatchAllData" ma:web="fa5a287d-e8d7-4515-878e-e2d26d40b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F7B0F-3F6F-4BA4-8B7D-68A57B882AFB}">
  <ds:schemaRefs>
    <ds:schemaRef ds:uri="http://schemas.openxmlformats.org/officeDocument/2006/bibliography"/>
  </ds:schemaRefs>
</ds:datastoreItem>
</file>

<file path=customXml/itemProps2.xml><?xml version="1.0" encoding="utf-8"?>
<ds:datastoreItem xmlns:ds="http://schemas.openxmlformats.org/officeDocument/2006/customXml" ds:itemID="{9FBF35F3-7BFD-4C65-BA36-40CCC7FE1235}">
  <ds:schemaRefs>
    <ds:schemaRef ds:uri="http://schemas.openxmlformats.org/officeDocument/2006/bibliography"/>
  </ds:schemaRefs>
</ds:datastoreItem>
</file>

<file path=customXml/itemProps3.xml><?xml version="1.0" encoding="utf-8"?>
<ds:datastoreItem xmlns:ds="http://schemas.openxmlformats.org/officeDocument/2006/customXml" ds:itemID="{27F4BE15-0D0C-4FD3-B3BE-FB7BEFB9525A}">
  <ds:schemaRefs>
    <ds:schemaRef ds:uri="http://schemas.microsoft.com/office/2006/metadata/properties"/>
    <ds:schemaRef ds:uri="http://schemas.microsoft.com/office/infopath/2007/PartnerControls"/>
    <ds:schemaRef ds:uri="6967e8fb-135a-4813-91f6-dfd143e5f1f5"/>
    <ds:schemaRef ds:uri="fa5a287d-e8d7-4515-878e-e2d26d40b308"/>
    <ds:schemaRef ds:uri="a185a935-ba3f-496a-b001-2f31da7152f8"/>
  </ds:schemaRefs>
</ds:datastoreItem>
</file>

<file path=customXml/itemProps4.xml><?xml version="1.0" encoding="utf-8"?>
<ds:datastoreItem xmlns:ds="http://schemas.openxmlformats.org/officeDocument/2006/customXml" ds:itemID="{EF854E47-8E17-4510-A85B-53BAC7A20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0750f-d101-47d7-b42c-3755e39e899d"/>
    <ds:schemaRef ds:uri="6967e8fb-135a-4813-91f6-dfd143e5f1f5"/>
    <ds:schemaRef ds:uri="a185a935-ba3f-496a-b001-2f31da7152f8"/>
    <ds:schemaRef ds:uri="fa5a287d-e8d7-4515-878e-e2d26d40b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E60360-77A2-4752-BA90-CF7AEA223E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3343</Words>
  <Characters>18056</Characters>
  <Application>Microsoft Office Word</Application>
  <DocSecurity>2</DocSecurity>
  <Lines>300</Lines>
  <Paragraphs>136</Paragraphs>
  <ScaleCrop>false</ScaleCrop>
  <HeadingPairs>
    <vt:vector size="2" baseType="variant">
      <vt:variant>
        <vt:lpstr>Title</vt:lpstr>
      </vt:variant>
      <vt:variant>
        <vt:i4>1</vt:i4>
      </vt:variant>
    </vt:vector>
  </HeadingPairs>
  <TitlesOfParts>
    <vt:vector size="1" baseType="lpstr">
      <vt:lpstr/>
    </vt:vector>
  </TitlesOfParts>
  <Company>City of Boulder IT</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Procopio</dc:creator>
  <cp:lastModifiedBy>Nicli, Layra</cp:lastModifiedBy>
  <cp:revision>8</cp:revision>
  <cp:lastPrinted>2017-12-27T21:28:00Z</cp:lastPrinted>
  <dcterms:created xsi:type="dcterms:W3CDTF">2025-05-30T17:16:00Z</dcterms:created>
  <dcterms:modified xsi:type="dcterms:W3CDTF">2025-06-27T02:07:00Z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0x0101003F0314EDECDC3E408AA8DC6E865F38F6</vt:lpwstr>
  </property>
  <property fmtid="{D5CDD505-2E9C-101B-9397-08002B2CF9AE}" pid="3" name="GUID">
    <vt:lpwstr>383d5a24-12b6-4741-9d17-5e5845e410a4</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GrammarlyDocumentId">
    <vt:lpwstr>5038aac0-25f6-4276-9d32-d9dd9f54abc8</vt:lpwstr>
  </property>
</Properties>
</file>