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7750E" w14:textId="77777777" w:rsidR="007F1C38" w:rsidRPr="00204C93" w:rsidRDefault="507E2CB9" w:rsidP="6657A744">
      <w:pPr>
        <w:rPr>
          <w:rStyle w:val="TitleChar"/>
          <w:b/>
          <w:bCs/>
          <w:color w:val="006666" w:themeColor="accent6"/>
          <w:sz w:val="40"/>
          <w:szCs w:val="40"/>
        </w:rPr>
      </w:pPr>
      <w:r w:rsidRPr="6657A744">
        <w:rPr>
          <w:rStyle w:val="TitleChar"/>
          <w:b/>
          <w:bCs/>
          <w:color w:val="006666" w:themeColor="accent6"/>
        </w:rPr>
        <w:t>How-</w:t>
      </w:r>
      <w:r w:rsidR="2B477451" w:rsidRPr="6657A744">
        <w:rPr>
          <w:rStyle w:val="TitleChar"/>
          <w:b/>
          <w:bCs/>
          <w:color w:val="006666" w:themeColor="accent6"/>
        </w:rPr>
        <w:t>to</w:t>
      </w:r>
      <w:r w:rsidRPr="6657A744">
        <w:rPr>
          <w:rStyle w:val="TitleChar"/>
          <w:b/>
          <w:bCs/>
          <w:color w:val="006666" w:themeColor="accent6"/>
        </w:rPr>
        <w:t xml:space="preserve"> </w:t>
      </w:r>
      <w:r w:rsidR="2B477451" w:rsidRPr="6657A744">
        <w:rPr>
          <w:rStyle w:val="TitleChar"/>
          <w:b/>
          <w:bCs/>
          <w:color w:val="006666" w:themeColor="accent6"/>
        </w:rPr>
        <w:t xml:space="preserve">Guide for Boulder’s </w:t>
      </w:r>
      <w:r w:rsidR="08C4864E" w:rsidRPr="6657A744">
        <w:rPr>
          <w:rStyle w:val="TitleChar"/>
          <w:b/>
          <w:bCs/>
          <w:color w:val="006666" w:themeColor="accent6"/>
        </w:rPr>
        <w:t>Building Performance Ordinance</w:t>
      </w:r>
      <w:r w:rsidR="27B1CFB0" w:rsidRPr="6657A744">
        <w:rPr>
          <w:rStyle w:val="TitleChar"/>
          <w:b/>
          <w:bCs/>
          <w:color w:val="006666" w:themeColor="accent6"/>
        </w:rPr>
        <w:t xml:space="preserve"> Rating &amp; </w:t>
      </w:r>
      <w:r w:rsidR="007F1C38" w:rsidRPr="00204C93">
        <w:rPr>
          <w:rStyle w:val="TitleChar"/>
          <w:b/>
          <w:color w:val="FF9933"/>
        </w:rPr>
        <w:br/>
      </w:r>
      <w:r w:rsidR="27B1CFB0" w:rsidRPr="6657A744">
        <w:rPr>
          <w:rStyle w:val="TitleChar"/>
          <w:b/>
          <w:bCs/>
          <w:color w:val="006666" w:themeColor="accent6"/>
        </w:rPr>
        <w:t>Reporting Requirement</w:t>
      </w:r>
    </w:p>
    <w:p w14:paraId="1F329D70" w14:textId="45926C61" w:rsidR="000C38C4" w:rsidRPr="00126908" w:rsidRDefault="00407241" w:rsidP="00647B8F">
      <w:pPr>
        <w:rPr>
          <w:rStyle w:val="SubtitleChar"/>
          <w:color w:val="FFFFFF" w:themeColor="background1"/>
        </w:rPr>
      </w:pPr>
      <w:r>
        <w:br/>
      </w:r>
      <w:r w:rsidR="50B3EFC8" w:rsidRPr="6657A744">
        <w:rPr>
          <w:rStyle w:val="SubtitleChar"/>
          <w:color w:val="006666" w:themeColor="accent6"/>
        </w:rPr>
        <w:t>Step-by-</w:t>
      </w:r>
      <w:r w:rsidR="6510E8E4" w:rsidRPr="6657A744">
        <w:rPr>
          <w:rStyle w:val="SubtitleChar"/>
          <w:color w:val="006666" w:themeColor="accent6"/>
        </w:rPr>
        <w:t>s</w:t>
      </w:r>
      <w:r w:rsidR="50B3EFC8" w:rsidRPr="6657A744">
        <w:rPr>
          <w:rStyle w:val="SubtitleChar"/>
          <w:color w:val="006666" w:themeColor="accent6"/>
        </w:rPr>
        <w:t xml:space="preserve">tep </w:t>
      </w:r>
      <w:r w:rsidR="6510E8E4" w:rsidRPr="6657A744">
        <w:rPr>
          <w:rStyle w:val="SubtitleChar"/>
          <w:color w:val="006666" w:themeColor="accent6"/>
        </w:rPr>
        <w:t>c</w:t>
      </w:r>
      <w:r w:rsidR="50B3EFC8" w:rsidRPr="6657A744">
        <w:rPr>
          <w:rStyle w:val="SubtitleChar"/>
          <w:color w:val="006666" w:themeColor="accent6"/>
        </w:rPr>
        <w:t>ompliance</w:t>
      </w:r>
      <w:r w:rsidR="6510E8E4" w:rsidRPr="6657A744">
        <w:rPr>
          <w:rStyle w:val="SubtitleChar"/>
          <w:color w:val="006666" w:themeColor="accent6"/>
        </w:rPr>
        <w:t xml:space="preserve"> i</w:t>
      </w:r>
      <w:r w:rsidR="50B3EFC8" w:rsidRPr="6657A744">
        <w:rPr>
          <w:rStyle w:val="SubtitleChar"/>
          <w:color w:val="006666" w:themeColor="accent6"/>
        </w:rPr>
        <w:t xml:space="preserve">nstructions for </w:t>
      </w:r>
      <w:r w:rsidR="08C4864E" w:rsidRPr="6657A744">
        <w:rPr>
          <w:rStyle w:val="SubtitleChar"/>
          <w:color w:val="006666" w:themeColor="accent6"/>
        </w:rPr>
        <w:t>commercial and industrial building owners</w:t>
      </w:r>
      <w:r w:rsidR="507E2CB9" w:rsidRPr="6657A744">
        <w:rPr>
          <w:rStyle w:val="SubtitleChar"/>
          <w:color w:val="006666" w:themeColor="accent6"/>
        </w:rPr>
        <w:t xml:space="preserve"> to rate and report their building energy usage through Portfolio Manage</w:t>
      </w:r>
      <w:r w:rsidR="00506F63">
        <w:rPr>
          <w:rStyle w:val="SubtitleChar"/>
          <w:color w:val="006666" w:themeColor="accent6"/>
        </w:rPr>
        <w:t>r.</w:t>
      </w:r>
    </w:p>
    <w:p w14:paraId="73CE9532" w14:textId="77777777" w:rsidR="007F1C38" w:rsidRPr="007F1C38" w:rsidRDefault="007F1C38" w:rsidP="00647B8F">
      <w:pPr>
        <w:rPr>
          <w:rFonts w:asciiTheme="majorHAnsi" w:eastAsiaTheme="majorEastAsia" w:hAnsiTheme="majorHAnsi" w:cstheme="majorBidi"/>
          <w:b/>
          <w:color w:val="BFBFBF" w:themeColor="text2" w:themeShade="BF"/>
          <w:spacing w:val="5"/>
          <w:kern w:val="28"/>
          <w:sz w:val="52"/>
          <w:szCs w:val="52"/>
        </w:rPr>
      </w:pPr>
    </w:p>
    <w:p w14:paraId="573E9241" w14:textId="66D3B19A" w:rsidR="00136667" w:rsidRDefault="4DDC72B0" w:rsidP="6657A744">
      <w:pPr>
        <w:tabs>
          <w:tab w:val="left" w:pos="7200"/>
        </w:tabs>
        <w:rPr>
          <w:i/>
          <w:iCs/>
          <w:sz w:val="24"/>
          <w:szCs w:val="24"/>
        </w:rPr>
      </w:pPr>
      <w:r w:rsidRPr="6657A744">
        <w:rPr>
          <w:i/>
          <w:iCs/>
        </w:rPr>
        <w:t>Nov.</w:t>
      </w:r>
      <w:r w:rsidR="27B1CFB0" w:rsidRPr="6657A744">
        <w:rPr>
          <w:i/>
          <w:iCs/>
        </w:rPr>
        <w:t xml:space="preserve"> 2015</w:t>
      </w:r>
      <w:r w:rsidR="27F49EF9" w:rsidRPr="6657A744">
        <w:rPr>
          <w:i/>
          <w:iCs/>
        </w:rPr>
        <w:t xml:space="preserve"> (Amended </w:t>
      </w:r>
      <w:r w:rsidR="32ACE8BC" w:rsidRPr="6657A744">
        <w:rPr>
          <w:i/>
          <w:iCs/>
        </w:rPr>
        <w:t>February 2022</w:t>
      </w:r>
      <w:r w:rsidR="27F49EF9" w:rsidRPr="6657A744">
        <w:rPr>
          <w:i/>
          <w:iCs/>
        </w:rPr>
        <w:t>)</w:t>
      </w:r>
    </w:p>
    <w:p w14:paraId="167DA175" w14:textId="77777777" w:rsidR="00C16B23" w:rsidRPr="00204C93" w:rsidRDefault="4631FB23" w:rsidP="6657A744">
      <w:pPr>
        <w:pStyle w:val="TOCHeading"/>
        <w:rPr>
          <w:b/>
          <w:bCs/>
          <w:color w:val="auto"/>
        </w:rPr>
      </w:pPr>
      <w:r w:rsidRPr="6657A744">
        <w:rPr>
          <w:b/>
          <w:bCs/>
          <w:color w:val="auto"/>
        </w:rPr>
        <w:t>Contents</w:t>
      </w:r>
    </w:p>
    <w:p w14:paraId="6CA7B0CF" w14:textId="00324D09" w:rsidR="00863D72" w:rsidRDefault="00D957CC">
      <w:pPr>
        <w:pStyle w:val="TOC1"/>
        <w:tabs>
          <w:tab w:val="right" w:leader="dot" w:pos="9350"/>
        </w:tabs>
        <w:rPr>
          <w:rFonts w:eastAsiaTheme="minorEastAsia"/>
          <w:noProof/>
        </w:rPr>
      </w:pPr>
      <w:r>
        <w:fldChar w:fldCharType="begin"/>
      </w:r>
      <w:r w:rsidR="00C16B23">
        <w:instrText xml:space="preserve"> TOC \o "1-1" \h \z \u </w:instrText>
      </w:r>
      <w:r>
        <w:fldChar w:fldCharType="separate"/>
      </w:r>
      <w:hyperlink w:anchor="_Toc502146987" w:history="1">
        <w:r w:rsidR="00863D72" w:rsidRPr="00C83DAD">
          <w:rPr>
            <w:rStyle w:val="Hyperlink"/>
            <w:noProof/>
          </w:rPr>
          <w:t>Step 1. Add Your Building in Portfolio Manager</w:t>
        </w:r>
        <w:r w:rsidR="00863D72">
          <w:rPr>
            <w:noProof/>
            <w:webHidden/>
          </w:rPr>
          <w:tab/>
        </w:r>
        <w:r w:rsidR="00863D72">
          <w:rPr>
            <w:noProof/>
            <w:webHidden/>
          </w:rPr>
          <w:fldChar w:fldCharType="begin"/>
        </w:r>
        <w:r w:rsidR="00863D72">
          <w:rPr>
            <w:noProof/>
            <w:webHidden/>
          </w:rPr>
          <w:instrText xml:space="preserve"> PAGEREF _Toc502146987 \h </w:instrText>
        </w:r>
        <w:r w:rsidR="00863D72">
          <w:rPr>
            <w:noProof/>
            <w:webHidden/>
          </w:rPr>
        </w:r>
        <w:r w:rsidR="00863D72">
          <w:rPr>
            <w:noProof/>
            <w:webHidden/>
          </w:rPr>
          <w:fldChar w:fldCharType="separate"/>
        </w:r>
        <w:r w:rsidR="008A7975">
          <w:rPr>
            <w:noProof/>
            <w:webHidden/>
          </w:rPr>
          <w:t>2</w:t>
        </w:r>
        <w:r w:rsidR="00863D72">
          <w:rPr>
            <w:noProof/>
            <w:webHidden/>
          </w:rPr>
          <w:fldChar w:fldCharType="end"/>
        </w:r>
      </w:hyperlink>
    </w:p>
    <w:p w14:paraId="7836F4F3" w14:textId="39AD8069" w:rsidR="00863D72" w:rsidRDefault="00863D72">
      <w:pPr>
        <w:pStyle w:val="TOC1"/>
        <w:tabs>
          <w:tab w:val="right" w:leader="dot" w:pos="9350"/>
        </w:tabs>
        <w:rPr>
          <w:rFonts w:eastAsiaTheme="minorEastAsia"/>
          <w:noProof/>
        </w:rPr>
      </w:pPr>
      <w:hyperlink w:anchor="_Toc502146988" w:history="1">
        <w:r w:rsidRPr="00C83DAD">
          <w:rPr>
            <w:rStyle w:val="Hyperlink"/>
            <w:noProof/>
          </w:rPr>
          <w:t>Step 2. Assign the Boulder Energy Reporting ID</w:t>
        </w:r>
        <w:r>
          <w:rPr>
            <w:noProof/>
            <w:webHidden/>
          </w:rPr>
          <w:tab/>
        </w:r>
        <w:r>
          <w:rPr>
            <w:noProof/>
            <w:webHidden/>
          </w:rPr>
          <w:fldChar w:fldCharType="begin"/>
        </w:r>
        <w:r>
          <w:rPr>
            <w:noProof/>
            <w:webHidden/>
          </w:rPr>
          <w:instrText xml:space="preserve"> PAGEREF _Toc502146988 \h </w:instrText>
        </w:r>
        <w:r>
          <w:rPr>
            <w:noProof/>
            <w:webHidden/>
          </w:rPr>
        </w:r>
        <w:r>
          <w:rPr>
            <w:noProof/>
            <w:webHidden/>
          </w:rPr>
          <w:fldChar w:fldCharType="separate"/>
        </w:r>
        <w:r w:rsidR="008A7975">
          <w:rPr>
            <w:noProof/>
            <w:webHidden/>
          </w:rPr>
          <w:t>3</w:t>
        </w:r>
        <w:r>
          <w:rPr>
            <w:noProof/>
            <w:webHidden/>
          </w:rPr>
          <w:fldChar w:fldCharType="end"/>
        </w:r>
      </w:hyperlink>
    </w:p>
    <w:p w14:paraId="6F6002F0" w14:textId="116F6D1D" w:rsidR="00863D72" w:rsidRDefault="00863D72">
      <w:pPr>
        <w:pStyle w:val="TOC1"/>
        <w:tabs>
          <w:tab w:val="right" w:leader="dot" w:pos="9350"/>
        </w:tabs>
        <w:rPr>
          <w:rFonts w:eastAsiaTheme="minorEastAsia"/>
          <w:noProof/>
        </w:rPr>
      </w:pPr>
      <w:hyperlink w:anchor="_Toc502146989" w:history="1">
        <w:r w:rsidRPr="00C83DAD">
          <w:rPr>
            <w:rStyle w:val="Hyperlink"/>
            <w:noProof/>
          </w:rPr>
          <w:t>Step 3. Enter your Whole-Building Energy Data</w:t>
        </w:r>
        <w:r>
          <w:rPr>
            <w:noProof/>
            <w:webHidden/>
          </w:rPr>
          <w:tab/>
        </w:r>
        <w:r>
          <w:rPr>
            <w:noProof/>
            <w:webHidden/>
          </w:rPr>
          <w:fldChar w:fldCharType="begin"/>
        </w:r>
        <w:r>
          <w:rPr>
            <w:noProof/>
            <w:webHidden/>
          </w:rPr>
          <w:instrText xml:space="preserve"> PAGEREF _Toc502146989 \h </w:instrText>
        </w:r>
        <w:r>
          <w:rPr>
            <w:noProof/>
            <w:webHidden/>
          </w:rPr>
        </w:r>
        <w:r>
          <w:rPr>
            <w:noProof/>
            <w:webHidden/>
          </w:rPr>
          <w:fldChar w:fldCharType="separate"/>
        </w:r>
        <w:r w:rsidR="008A7975">
          <w:rPr>
            <w:noProof/>
            <w:webHidden/>
          </w:rPr>
          <w:t>4</w:t>
        </w:r>
        <w:r>
          <w:rPr>
            <w:noProof/>
            <w:webHidden/>
          </w:rPr>
          <w:fldChar w:fldCharType="end"/>
        </w:r>
      </w:hyperlink>
    </w:p>
    <w:p w14:paraId="515DAA59" w14:textId="3EFF15A2" w:rsidR="00863D72" w:rsidRDefault="00863D72">
      <w:pPr>
        <w:pStyle w:val="TOC1"/>
        <w:tabs>
          <w:tab w:val="right" w:leader="dot" w:pos="9350"/>
        </w:tabs>
        <w:rPr>
          <w:rFonts w:eastAsiaTheme="minorEastAsia"/>
          <w:noProof/>
        </w:rPr>
      </w:pPr>
      <w:hyperlink w:anchor="_Toc502146990" w:history="1">
        <w:r w:rsidRPr="00C83DAD">
          <w:rPr>
            <w:rStyle w:val="Hyperlink"/>
            <w:noProof/>
          </w:rPr>
          <w:t>Step 4. Run the Data Quality Checker</w:t>
        </w:r>
        <w:r>
          <w:rPr>
            <w:noProof/>
            <w:webHidden/>
          </w:rPr>
          <w:tab/>
        </w:r>
        <w:r>
          <w:rPr>
            <w:noProof/>
            <w:webHidden/>
          </w:rPr>
          <w:fldChar w:fldCharType="begin"/>
        </w:r>
        <w:r>
          <w:rPr>
            <w:noProof/>
            <w:webHidden/>
          </w:rPr>
          <w:instrText xml:space="preserve"> PAGEREF _Toc502146990 \h </w:instrText>
        </w:r>
        <w:r>
          <w:rPr>
            <w:noProof/>
            <w:webHidden/>
          </w:rPr>
        </w:r>
        <w:r>
          <w:rPr>
            <w:noProof/>
            <w:webHidden/>
          </w:rPr>
          <w:fldChar w:fldCharType="separate"/>
        </w:r>
        <w:r w:rsidR="008A7975">
          <w:rPr>
            <w:noProof/>
            <w:webHidden/>
          </w:rPr>
          <w:t>4</w:t>
        </w:r>
        <w:r>
          <w:rPr>
            <w:noProof/>
            <w:webHidden/>
          </w:rPr>
          <w:fldChar w:fldCharType="end"/>
        </w:r>
      </w:hyperlink>
    </w:p>
    <w:p w14:paraId="115CE73C" w14:textId="6D7FFCBB" w:rsidR="00863D72" w:rsidRDefault="00863D72">
      <w:pPr>
        <w:pStyle w:val="TOC1"/>
        <w:tabs>
          <w:tab w:val="right" w:leader="dot" w:pos="9350"/>
        </w:tabs>
        <w:rPr>
          <w:rFonts w:eastAsiaTheme="minorEastAsia"/>
          <w:noProof/>
        </w:rPr>
      </w:pPr>
      <w:hyperlink w:anchor="_Toc502146991" w:history="1">
        <w:r w:rsidRPr="00C83DAD">
          <w:rPr>
            <w:rStyle w:val="Hyperlink"/>
            <w:noProof/>
          </w:rPr>
          <w:t>Step 5. Submit your Data to the City of Boulder</w:t>
        </w:r>
        <w:r>
          <w:rPr>
            <w:noProof/>
            <w:webHidden/>
          </w:rPr>
          <w:tab/>
        </w:r>
        <w:r>
          <w:rPr>
            <w:noProof/>
            <w:webHidden/>
          </w:rPr>
          <w:fldChar w:fldCharType="begin"/>
        </w:r>
        <w:r>
          <w:rPr>
            <w:noProof/>
            <w:webHidden/>
          </w:rPr>
          <w:instrText xml:space="preserve"> PAGEREF _Toc502146991 \h </w:instrText>
        </w:r>
        <w:r>
          <w:rPr>
            <w:noProof/>
            <w:webHidden/>
          </w:rPr>
        </w:r>
        <w:r>
          <w:rPr>
            <w:noProof/>
            <w:webHidden/>
          </w:rPr>
          <w:fldChar w:fldCharType="separate"/>
        </w:r>
        <w:r w:rsidR="008A7975">
          <w:rPr>
            <w:noProof/>
            <w:webHidden/>
          </w:rPr>
          <w:t>5</w:t>
        </w:r>
        <w:r>
          <w:rPr>
            <w:noProof/>
            <w:webHidden/>
          </w:rPr>
          <w:fldChar w:fldCharType="end"/>
        </w:r>
      </w:hyperlink>
    </w:p>
    <w:p w14:paraId="341FA68A" w14:textId="07247FF8" w:rsidR="00863D72" w:rsidRDefault="00863D72">
      <w:pPr>
        <w:pStyle w:val="TOC1"/>
        <w:tabs>
          <w:tab w:val="right" w:leader="dot" w:pos="9350"/>
        </w:tabs>
        <w:rPr>
          <w:rFonts w:eastAsiaTheme="minorEastAsia"/>
          <w:noProof/>
        </w:rPr>
      </w:pPr>
      <w:hyperlink w:anchor="_Toc502146992" w:history="1">
        <w:r w:rsidRPr="00C83DAD">
          <w:rPr>
            <w:rStyle w:val="Hyperlink"/>
            <w:noProof/>
          </w:rPr>
          <w:t>Updating or Correcting the Portfolio Manager Report</w:t>
        </w:r>
        <w:r>
          <w:rPr>
            <w:noProof/>
            <w:webHidden/>
          </w:rPr>
          <w:tab/>
        </w:r>
        <w:r>
          <w:rPr>
            <w:noProof/>
            <w:webHidden/>
          </w:rPr>
          <w:fldChar w:fldCharType="begin"/>
        </w:r>
        <w:r>
          <w:rPr>
            <w:noProof/>
            <w:webHidden/>
          </w:rPr>
          <w:instrText xml:space="preserve"> PAGEREF _Toc502146992 \h </w:instrText>
        </w:r>
        <w:r>
          <w:rPr>
            <w:noProof/>
            <w:webHidden/>
          </w:rPr>
        </w:r>
        <w:r>
          <w:rPr>
            <w:noProof/>
            <w:webHidden/>
          </w:rPr>
          <w:fldChar w:fldCharType="separate"/>
        </w:r>
        <w:r w:rsidR="008A7975">
          <w:rPr>
            <w:noProof/>
            <w:webHidden/>
          </w:rPr>
          <w:t>8</w:t>
        </w:r>
        <w:r>
          <w:rPr>
            <w:noProof/>
            <w:webHidden/>
          </w:rPr>
          <w:fldChar w:fldCharType="end"/>
        </w:r>
      </w:hyperlink>
    </w:p>
    <w:p w14:paraId="3D44C962" w14:textId="3352FD60" w:rsidR="00863D72" w:rsidRDefault="00863D72">
      <w:pPr>
        <w:pStyle w:val="TOC1"/>
        <w:tabs>
          <w:tab w:val="right" w:leader="dot" w:pos="9350"/>
        </w:tabs>
        <w:rPr>
          <w:rFonts w:eastAsiaTheme="minorEastAsia"/>
          <w:noProof/>
        </w:rPr>
      </w:pPr>
      <w:hyperlink w:anchor="_Toc502146993" w:history="1">
        <w:r w:rsidRPr="00C83DAD">
          <w:rPr>
            <w:rStyle w:val="Hyperlink"/>
            <w:noProof/>
          </w:rPr>
          <w:t>How to Manually Collect and Enter your Data</w:t>
        </w:r>
        <w:r>
          <w:rPr>
            <w:noProof/>
            <w:webHidden/>
          </w:rPr>
          <w:tab/>
        </w:r>
        <w:r>
          <w:rPr>
            <w:noProof/>
            <w:webHidden/>
          </w:rPr>
          <w:fldChar w:fldCharType="begin"/>
        </w:r>
        <w:r>
          <w:rPr>
            <w:noProof/>
            <w:webHidden/>
          </w:rPr>
          <w:instrText xml:space="preserve"> PAGEREF _Toc502146993 \h </w:instrText>
        </w:r>
        <w:r>
          <w:rPr>
            <w:noProof/>
            <w:webHidden/>
          </w:rPr>
        </w:r>
        <w:r>
          <w:rPr>
            <w:noProof/>
            <w:webHidden/>
          </w:rPr>
          <w:fldChar w:fldCharType="separate"/>
        </w:r>
        <w:r w:rsidR="008A7975">
          <w:rPr>
            <w:noProof/>
            <w:webHidden/>
          </w:rPr>
          <w:t>9</w:t>
        </w:r>
        <w:r>
          <w:rPr>
            <w:noProof/>
            <w:webHidden/>
          </w:rPr>
          <w:fldChar w:fldCharType="end"/>
        </w:r>
      </w:hyperlink>
    </w:p>
    <w:p w14:paraId="12EE98DC" w14:textId="4EAAFFE8" w:rsidR="00863D72" w:rsidRDefault="00863D72">
      <w:pPr>
        <w:pStyle w:val="TOC1"/>
        <w:tabs>
          <w:tab w:val="right" w:leader="dot" w:pos="9350"/>
        </w:tabs>
        <w:rPr>
          <w:rFonts w:eastAsiaTheme="minorEastAsia"/>
          <w:noProof/>
        </w:rPr>
      </w:pPr>
      <w:hyperlink w:anchor="_Toc502146994" w:history="1">
        <w:r w:rsidRPr="00C83DAD">
          <w:rPr>
            <w:rStyle w:val="Hyperlink"/>
            <w:noProof/>
          </w:rPr>
          <w:t>Frequently Asked Questions</w:t>
        </w:r>
        <w:r>
          <w:rPr>
            <w:noProof/>
            <w:webHidden/>
          </w:rPr>
          <w:tab/>
        </w:r>
        <w:r>
          <w:rPr>
            <w:noProof/>
            <w:webHidden/>
          </w:rPr>
          <w:fldChar w:fldCharType="begin"/>
        </w:r>
        <w:r>
          <w:rPr>
            <w:noProof/>
            <w:webHidden/>
          </w:rPr>
          <w:instrText xml:space="preserve"> PAGEREF _Toc502146994 \h </w:instrText>
        </w:r>
        <w:r>
          <w:rPr>
            <w:noProof/>
            <w:webHidden/>
          </w:rPr>
        </w:r>
        <w:r>
          <w:rPr>
            <w:noProof/>
            <w:webHidden/>
          </w:rPr>
          <w:fldChar w:fldCharType="separate"/>
        </w:r>
        <w:r w:rsidR="008A7975">
          <w:rPr>
            <w:noProof/>
            <w:webHidden/>
          </w:rPr>
          <w:t>11</w:t>
        </w:r>
        <w:r>
          <w:rPr>
            <w:noProof/>
            <w:webHidden/>
          </w:rPr>
          <w:fldChar w:fldCharType="end"/>
        </w:r>
      </w:hyperlink>
    </w:p>
    <w:p w14:paraId="666AE4BF" w14:textId="77777777" w:rsidR="00863D72" w:rsidRDefault="00D957CC" w:rsidP="00863D72">
      <w:r>
        <w:fldChar w:fldCharType="end"/>
      </w:r>
    </w:p>
    <w:tbl>
      <w:tblPr>
        <w:tblStyle w:val="TableGrid"/>
        <w:tblW w:w="0" w:type="auto"/>
        <w:tblBorders>
          <w:top w:val="single" w:sz="4" w:space="0" w:color="006666" w:themeColor="accent3"/>
          <w:left w:val="single" w:sz="4" w:space="0" w:color="006666" w:themeColor="accent3"/>
          <w:bottom w:val="single" w:sz="4" w:space="0" w:color="006666" w:themeColor="accent3"/>
          <w:right w:val="single" w:sz="4" w:space="0" w:color="006666" w:themeColor="accent3"/>
          <w:insideH w:val="single" w:sz="4" w:space="0" w:color="006666" w:themeColor="accent3"/>
          <w:insideV w:val="single" w:sz="4" w:space="0" w:color="006666" w:themeColor="accent3"/>
        </w:tblBorders>
        <w:shd w:val="clear" w:color="auto" w:fill="F2F2F2" w:themeFill="background1" w:themeFillShade="F2"/>
        <w:tblLook w:val="04A0" w:firstRow="1" w:lastRow="0" w:firstColumn="1" w:lastColumn="0" w:noHBand="0" w:noVBand="1"/>
      </w:tblPr>
      <w:tblGrid>
        <w:gridCol w:w="9350"/>
      </w:tblGrid>
      <w:tr w:rsidR="004D2E64" w14:paraId="0480A3C9" w14:textId="77777777" w:rsidTr="005F325F">
        <w:tc>
          <w:tcPr>
            <w:tcW w:w="9350" w:type="dxa"/>
            <w:shd w:val="clear" w:color="auto" w:fill="F2F2F2" w:themeFill="background1" w:themeFillShade="F2"/>
          </w:tcPr>
          <w:p w14:paraId="2DD64F66" w14:textId="77777777" w:rsidR="00863D72" w:rsidRPr="00863D72" w:rsidRDefault="00863D72" w:rsidP="00863D72">
            <w:pPr>
              <w:pStyle w:val="IntenseQuote"/>
              <w:jc w:val="center"/>
            </w:pPr>
            <w:bookmarkStart w:id="0" w:name="_Toc430955066"/>
            <w:r w:rsidRPr="00863D72">
              <w:t>Additional Resources</w:t>
            </w:r>
          </w:p>
          <w:p w14:paraId="11B0D7FF" w14:textId="77777777" w:rsidR="00863D72" w:rsidRDefault="00863D72" w:rsidP="00436CB3">
            <w:pPr>
              <w:spacing w:beforeLines="40" w:before="96" w:afterLines="60" w:after="144"/>
              <w:jc w:val="center"/>
              <w:rPr>
                <w:b/>
              </w:rPr>
            </w:pPr>
            <w:r>
              <w:rPr>
                <w:b/>
              </w:rPr>
              <w:t xml:space="preserve">Boulder </w:t>
            </w:r>
            <w:r w:rsidRPr="00863D72">
              <w:rPr>
                <w:b/>
              </w:rPr>
              <w:t xml:space="preserve">Building Performance </w:t>
            </w:r>
            <w:r>
              <w:rPr>
                <w:b/>
              </w:rPr>
              <w:t>Help Desk:</w:t>
            </w:r>
          </w:p>
          <w:p w14:paraId="485B003E" w14:textId="77777777" w:rsidR="00863D72" w:rsidRDefault="00863D72" w:rsidP="00436CB3">
            <w:pPr>
              <w:spacing w:beforeLines="40" w:before="96" w:afterLines="60" w:after="144"/>
              <w:jc w:val="center"/>
            </w:pPr>
            <w:r w:rsidRPr="00863D72">
              <w:rPr>
                <w:rFonts w:eastAsia="Times New Roman" w:cstheme="minorHAnsi"/>
                <w:color w:val="000000"/>
              </w:rPr>
              <w:t xml:space="preserve">(844) 536-4528 | </w:t>
            </w:r>
            <w:hyperlink r:id="rId12" w:history="1">
              <w:r w:rsidRPr="00863D72">
                <w:rPr>
                  <w:rStyle w:val="Hyperlink"/>
                  <w:rFonts w:eastAsia="Times New Roman" w:cstheme="minorHAnsi"/>
                </w:rPr>
                <w:t>BPOHelpdesk@bouldercolorado.gov</w:t>
              </w:r>
            </w:hyperlink>
          </w:p>
          <w:p w14:paraId="6625239C" w14:textId="77777777" w:rsidR="00863D72" w:rsidRPr="00863D72" w:rsidRDefault="00863D72" w:rsidP="00436CB3">
            <w:pPr>
              <w:spacing w:beforeLines="40" w:before="96" w:afterLines="60" w:after="144"/>
              <w:jc w:val="center"/>
              <w:rPr>
                <w:b/>
              </w:rPr>
            </w:pPr>
            <w:r w:rsidRPr="00863D72">
              <w:rPr>
                <w:b/>
              </w:rPr>
              <w:t xml:space="preserve">ENERGY STAR </w:t>
            </w:r>
            <w:r w:rsidR="00496264">
              <w:rPr>
                <w:b/>
              </w:rPr>
              <w:t xml:space="preserve">Portfolio Manager </w:t>
            </w:r>
            <w:r w:rsidRPr="00863D72">
              <w:rPr>
                <w:b/>
              </w:rPr>
              <w:t>Quick Start Guide:</w:t>
            </w:r>
          </w:p>
          <w:p w14:paraId="39D416C0" w14:textId="77777777" w:rsidR="004D2E64" w:rsidRPr="00863D72" w:rsidRDefault="004D2E64" w:rsidP="00436CB3">
            <w:pPr>
              <w:spacing w:beforeLines="40" w:before="96" w:afterLines="60" w:after="144"/>
              <w:jc w:val="center"/>
              <w:rPr>
                <w:rStyle w:val="Hyperlink"/>
                <w:bCs/>
                <w:sz w:val="20"/>
              </w:rPr>
            </w:pPr>
            <w:hyperlink r:id="rId13" w:history="1">
              <w:r w:rsidRPr="00863D72">
                <w:rPr>
                  <w:rStyle w:val="Hyperlink"/>
                  <w:bCs/>
                  <w:sz w:val="20"/>
                </w:rPr>
                <w:t>http://www.energystar.gov/buildings/tools-and-resources/portfolio-manager-quick-start-guide</w:t>
              </w:r>
            </w:hyperlink>
          </w:p>
          <w:p w14:paraId="18799FFD" w14:textId="77777777" w:rsidR="00863D72" w:rsidRPr="00863D72" w:rsidRDefault="00863D72" w:rsidP="00436CB3">
            <w:pPr>
              <w:spacing w:beforeLines="40" w:before="96" w:afterLines="60" w:after="144"/>
              <w:jc w:val="center"/>
              <w:rPr>
                <w:b/>
              </w:rPr>
            </w:pPr>
            <w:r w:rsidRPr="00863D72">
              <w:rPr>
                <w:b/>
              </w:rPr>
              <w:t>ENERGY STAR Help Desk:</w:t>
            </w:r>
          </w:p>
          <w:p w14:paraId="0CFB7764" w14:textId="77777777" w:rsidR="00863D72" w:rsidRDefault="00863D72" w:rsidP="00436CB3">
            <w:pPr>
              <w:spacing w:beforeLines="40" w:before="96" w:afterLines="60" w:after="144"/>
              <w:jc w:val="center"/>
              <w:rPr>
                <w:rStyle w:val="Hyperlink"/>
                <w:bCs/>
                <w:sz w:val="20"/>
              </w:rPr>
            </w:pPr>
            <w:hyperlink r:id="rId14" w:history="1">
              <w:r w:rsidRPr="00863D72">
                <w:rPr>
                  <w:rStyle w:val="Hyperlink"/>
                  <w:sz w:val="20"/>
                </w:rPr>
                <w:t>https://portfoliomanager.zendesk.com/hc/en-us</w:t>
              </w:r>
            </w:hyperlink>
          </w:p>
          <w:p w14:paraId="261FFFF0" w14:textId="77777777" w:rsidR="00436CB3" w:rsidRPr="00436CB3" w:rsidRDefault="00436CB3" w:rsidP="00436CB3">
            <w:pPr>
              <w:spacing w:beforeLines="40" w:before="96" w:afterLines="60" w:after="144"/>
              <w:jc w:val="center"/>
              <w:rPr>
                <w:b/>
              </w:rPr>
            </w:pPr>
            <w:r w:rsidRPr="00436CB3">
              <w:rPr>
                <w:b/>
              </w:rPr>
              <w:t>Xcel Energy Benchmarking Portal:</w:t>
            </w:r>
          </w:p>
          <w:p w14:paraId="34AA4E0A" w14:textId="77777777" w:rsidR="00436CB3" w:rsidRPr="00863D72" w:rsidRDefault="00436CB3" w:rsidP="00436CB3">
            <w:pPr>
              <w:spacing w:beforeLines="40" w:before="96" w:afterLines="60" w:after="144"/>
              <w:jc w:val="center"/>
              <w:rPr>
                <w:bCs/>
                <w:color w:val="0563C1" w:themeColor="hyperlink"/>
                <w:sz w:val="20"/>
                <w:u w:val="single"/>
              </w:rPr>
            </w:pPr>
            <w:r>
              <w:rPr>
                <w:rStyle w:val="Hyperlink"/>
              </w:rPr>
              <w:t>www.xcelenergy.com/energybenchmarking</w:t>
            </w:r>
          </w:p>
        </w:tc>
      </w:tr>
    </w:tbl>
    <w:p w14:paraId="56181ACD" w14:textId="77777777" w:rsidR="0077369A" w:rsidRDefault="47F60B3C" w:rsidP="6657A744">
      <w:pPr>
        <w:pStyle w:val="Heading1"/>
        <w:rPr>
          <w:b/>
          <w:bCs/>
          <w:color w:val="FF9933"/>
        </w:rPr>
      </w:pPr>
      <w:bookmarkStart w:id="1" w:name="_Toc502146987"/>
      <w:r w:rsidRPr="6657A744">
        <w:rPr>
          <w:b/>
          <w:bCs/>
          <w:color w:val="006666" w:themeColor="accent6"/>
        </w:rPr>
        <w:lastRenderedPageBreak/>
        <w:t xml:space="preserve">Step 1. </w:t>
      </w:r>
      <w:r w:rsidR="13B1CBBA" w:rsidRPr="6657A744">
        <w:rPr>
          <w:b/>
          <w:bCs/>
          <w:color w:val="006666" w:themeColor="accent6"/>
        </w:rPr>
        <w:t xml:space="preserve">Add Your </w:t>
      </w:r>
      <w:bookmarkEnd w:id="0"/>
      <w:r w:rsidR="6139A4C1" w:rsidRPr="6657A744">
        <w:rPr>
          <w:b/>
          <w:bCs/>
          <w:color w:val="006666" w:themeColor="accent6"/>
        </w:rPr>
        <w:t>Building</w:t>
      </w:r>
      <w:r w:rsidR="57BEDC12" w:rsidRPr="6657A744">
        <w:rPr>
          <w:b/>
          <w:bCs/>
          <w:color w:val="006666" w:themeColor="accent6"/>
        </w:rPr>
        <w:t xml:space="preserve"> </w:t>
      </w:r>
      <w:r w:rsidR="6139A4C1" w:rsidRPr="6657A744">
        <w:rPr>
          <w:b/>
          <w:bCs/>
          <w:color w:val="006666" w:themeColor="accent6"/>
        </w:rPr>
        <w:t>in</w:t>
      </w:r>
      <w:r w:rsidR="57BEDC12" w:rsidRPr="6657A744">
        <w:rPr>
          <w:b/>
          <w:bCs/>
          <w:color w:val="006666" w:themeColor="accent6"/>
        </w:rPr>
        <w:t xml:space="preserve"> Portfolio Manager</w:t>
      </w:r>
      <w:bookmarkEnd w:id="1"/>
    </w:p>
    <w:p w14:paraId="75C920EE" w14:textId="77777777" w:rsidR="009958C7" w:rsidRDefault="009958C7" w:rsidP="009958C7">
      <w:r>
        <w:t xml:space="preserve">Affected building owners must create a Portfolio Manager account prior to entering annual energy data. To register for a Portfolio Manager account, visit </w:t>
      </w:r>
      <w:hyperlink r:id="rId15" w:history="1">
        <w:r w:rsidRPr="00DB0F90">
          <w:rPr>
            <w:rStyle w:val="Hyperlink"/>
          </w:rPr>
          <w:t>https://portfoliomanager.energystar.gov/pm/signup</w:t>
        </w:r>
      </w:hyperlink>
      <w:r>
        <w:t xml:space="preserve"> </w:t>
      </w:r>
    </w:p>
    <w:p w14:paraId="40015155" w14:textId="77777777" w:rsidR="009958C7" w:rsidRPr="009958C7" w:rsidRDefault="009958C7" w:rsidP="009958C7">
      <w:r>
        <w:t>Once an account is created, owners can add the building to the account following these steps:</w:t>
      </w:r>
    </w:p>
    <w:p w14:paraId="0D9A01EC" w14:textId="77777777" w:rsidR="0077369A" w:rsidRDefault="00660B67" w:rsidP="00113D95">
      <w:pPr>
        <w:pStyle w:val="ListParagraph"/>
        <w:numPr>
          <w:ilvl w:val="0"/>
          <w:numId w:val="10"/>
        </w:numPr>
      </w:pPr>
      <w:r>
        <w:t>In “My Portfolio” c</w:t>
      </w:r>
      <w:r w:rsidR="0077369A">
        <w:t xml:space="preserve">lick “Add a </w:t>
      </w:r>
      <w:proofErr w:type="gramStart"/>
      <w:r w:rsidR="0077369A">
        <w:t>Property</w:t>
      </w:r>
      <w:proofErr w:type="gramEnd"/>
      <w:r>
        <w:t>.</w:t>
      </w:r>
      <w:r w:rsidR="0077369A">
        <w:t xml:space="preserve">” </w:t>
      </w:r>
    </w:p>
    <w:p w14:paraId="68487E9E" w14:textId="77777777" w:rsidR="0077369A" w:rsidRDefault="00660B67" w:rsidP="00113D95">
      <w:pPr>
        <w:pStyle w:val="ListParagraph"/>
        <w:numPr>
          <w:ilvl w:val="0"/>
          <w:numId w:val="10"/>
        </w:numPr>
      </w:pPr>
      <w:r>
        <w:t>Select</w:t>
      </w:r>
      <w:r w:rsidR="0077369A">
        <w:t xml:space="preserve"> the </w:t>
      </w:r>
      <w:r>
        <w:t>applicable</w:t>
      </w:r>
      <w:r w:rsidR="0077369A">
        <w:t xml:space="preserve"> building characteristics </w:t>
      </w:r>
      <w:r w:rsidR="00E9140C">
        <w:t>and</w:t>
      </w:r>
      <w:r w:rsidR="0077369A">
        <w:t xml:space="preserve"> click “Get Started.” </w:t>
      </w:r>
    </w:p>
    <w:p w14:paraId="402E62F8" w14:textId="77777777" w:rsidR="0077369A" w:rsidRDefault="0077369A" w:rsidP="00113D95">
      <w:pPr>
        <w:pStyle w:val="ListParagraph"/>
        <w:numPr>
          <w:ilvl w:val="0"/>
          <w:numId w:val="10"/>
        </w:numPr>
      </w:pPr>
      <w:r>
        <w:t>Carefully</w:t>
      </w:r>
      <w:r w:rsidR="00660B67">
        <w:t xml:space="preserve"> enter</w:t>
      </w:r>
      <w:r>
        <w:t xml:space="preserve"> read and click any applicable check boxes and then click “Continue.”</w:t>
      </w:r>
    </w:p>
    <w:p w14:paraId="4E978954" w14:textId="77777777" w:rsidR="00CD1D5F" w:rsidRPr="00CD1D5F" w:rsidRDefault="00A440BC" w:rsidP="00113D95">
      <w:pPr>
        <w:pStyle w:val="ListParagraph"/>
        <w:numPr>
          <w:ilvl w:val="0"/>
          <w:numId w:val="10"/>
        </w:numPr>
        <w:rPr>
          <w:bCs/>
        </w:rPr>
      </w:pPr>
      <w:r>
        <w:t xml:space="preserve">Enter </w:t>
      </w:r>
      <w:proofErr w:type="gramStart"/>
      <w:r>
        <w:t>the use</w:t>
      </w:r>
      <w:proofErr w:type="gramEnd"/>
      <w:r>
        <w:t xml:space="preserve"> details for your building. </w:t>
      </w:r>
    </w:p>
    <w:p w14:paraId="267C2F10" w14:textId="06B12BF2" w:rsidR="00CD1D5F" w:rsidRPr="00CD1D5F" w:rsidRDefault="00CD1D5F" w:rsidP="00CD1D5F">
      <w:pPr>
        <w:pStyle w:val="ListParagraph"/>
        <w:numPr>
          <w:ilvl w:val="1"/>
          <w:numId w:val="10"/>
        </w:numPr>
        <w:rPr>
          <w:bCs/>
        </w:rPr>
      </w:pPr>
      <w:r>
        <w:t xml:space="preserve">You can </w:t>
      </w:r>
      <w:proofErr w:type="gramStart"/>
      <w:r>
        <w:t>collect use</w:t>
      </w:r>
      <w:proofErr w:type="gramEnd"/>
      <w:r>
        <w:t xml:space="preserve"> details from your tenants using the </w:t>
      </w:r>
      <w:hyperlink r:id="rId16" w:history="1">
        <w:r w:rsidRPr="0050155D">
          <w:rPr>
            <w:rStyle w:val="Hyperlink"/>
          </w:rPr>
          <w:t>Data Collection Worksheets</w:t>
        </w:r>
      </w:hyperlink>
      <w:r>
        <w:t>.</w:t>
      </w:r>
    </w:p>
    <w:p w14:paraId="05264099" w14:textId="77777777" w:rsidR="00665DDB" w:rsidRPr="00665DDB" w:rsidRDefault="008F6BD7" w:rsidP="00113D95">
      <w:pPr>
        <w:pStyle w:val="ListParagraph"/>
        <w:numPr>
          <w:ilvl w:val="0"/>
          <w:numId w:val="10"/>
        </w:numPr>
        <w:rPr>
          <w:bCs/>
        </w:rPr>
      </w:pPr>
      <w:r>
        <w:t>If yo</w:t>
      </w:r>
      <w:r w:rsidR="00665DDB">
        <w:t xml:space="preserve">ur building has multiple uses, read closely the text in the </w:t>
      </w:r>
      <w:r w:rsidR="00665DDB" w:rsidRPr="00665DDB">
        <w:rPr>
          <w:b/>
        </w:rPr>
        <w:t>Building Use</w:t>
      </w:r>
      <w:r w:rsidR="00665DDB">
        <w:t xml:space="preserve"> section. </w:t>
      </w:r>
    </w:p>
    <w:p w14:paraId="2788E182" w14:textId="77777777" w:rsidR="008F6BD7" w:rsidRPr="00CD1D5F" w:rsidRDefault="00665DDB" w:rsidP="00665DDB">
      <w:pPr>
        <w:pStyle w:val="ListParagraph"/>
        <w:numPr>
          <w:ilvl w:val="1"/>
          <w:numId w:val="10"/>
        </w:numPr>
        <w:rPr>
          <w:bCs/>
        </w:rPr>
      </w:pPr>
      <w:r>
        <w:t>A</w:t>
      </w:r>
      <w:r w:rsidR="008F6BD7">
        <w:t xml:space="preserve">dd additional space uses to your property by selecting an option in the </w:t>
      </w:r>
      <w:r w:rsidR="007A0D04">
        <w:t>drop-down</w:t>
      </w:r>
      <w:r w:rsidR="008F6BD7">
        <w:t xml:space="preserve"> menu </w:t>
      </w:r>
      <w:r w:rsidR="008F6BD7" w:rsidRPr="008F6BD7">
        <w:rPr>
          <w:b/>
        </w:rPr>
        <w:t xml:space="preserve">Add Another Type of </w:t>
      </w:r>
      <w:proofErr w:type="gramStart"/>
      <w:r w:rsidR="008F6BD7" w:rsidRPr="008F6BD7">
        <w:rPr>
          <w:b/>
        </w:rPr>
        <w:t>Use</w:t>
      </w:r>
      <w:r w:rsidR="008F6BD7" w:rsidRPr="008F6BD7">
        <w:t xml:space="preserve">, </w:t>
      </w:r>
      <w:r w:rsidR="008F6BD7">
        <w:t>and</w:t>
      </w:r>
      <w:proofErr w:type="gramEnd"/>
      <w:r w:rsidR="008F6BD7">
        <w:t xml:space="preserve"> then click</w:t>
      </w:r>
      <w:r w:rsidR="002C1557">
        <w:t>ing</w:t>
      </w:r>
      <w:r w:rsidR="008F6BD7">
        <w:t xml:space="preserve"> “Add</w:t>
      </w:r>
      <w:r w:rsidR="000C36D3">
        <w:t>.</w:t>
      </w:r>
      <w:r w:rsidR="008F6BD7">
        <w:t xml:space="preserve">” This will </w:t>
      </w:r>
      <w:r w:rsidR="00CD1D5F">
        <w:t>open</w:t>
      </w:r>
      <w:r w:rsidR="008F6BD7">
        <w:t xml:space="preserve"> a different list of attributes for that </w:t>
      </w:r>
      <w:r w:rsidR="00CD1D5F">
        <w:t>space</w:t>
      </w:r>
      <w:r w:rsidR="008F6BD7">
        <w:t xml:space="preserve"> type. </w:t>
      </w:r>
    </w:p>
    <w:p w14:paraId="49400D58" w14:textId="77777777" w:rsidR="00CD1D5F" w:rsidRPr="002270F0" w:rsidRDefault="00CD1D5F" w:rsidP="00CD1D5F">
      <w:pPr>
        <w:pStyle w:val="ListParagraph"/>
        <w:numPr>
          <w:ilvl w:val="0"/>
          <w:numId w:val="10"/>
        </w:numPr>
        <w:rPr>
          <w:bCs/>
        </w:rPr>
      </w:pPr>
      <w:r>
        <w:t xml:space="preserve">When you have finished adding </w:t>
      </w:r>
      <w:r w:rsidRPr="002C1557">
        <w:t>uses and details, click “Add Property</w:t>
      </w:r>
      <w:r>
        <w:t>.”</w:t>
      </w:r>
    </w:p>
    <w:tbl>
      <w:tblPr>
        <w:tblStyle w:val="TableGrid"/>
        <w:tblW w:w="0" w:type="auto"/>
        <w:tblBorders>
          <w:top w:val="single" w:sz="8" w:space="0" w:color="006666" w:themeColor="accent3"/>
          <w:left w:val="single" w:sz="8" w:space="0" w:color="006666" w:themeColor="accent3"/>
          <w:bottom w:val="single" w:sz="8" w:space="0" w:color="006666" w:themeColor="accent3"/>
          <w:right w:val="single" w:sz="8" w:space="0" w:color="006666" w:themeColor="accent3"/>
          <w:insid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w:noHBand="0" w:noVBand="1"/>
      </w:tblPr>
      <w:tblGrid>
        <w:gridCol w:w="9340"/>
      </w:tblGrid>
      <w:tr w:rsidR="00BA0051" w:rsidRPr="00EC6D3C" w14:paraId="1E9A1E02" w14:textId="77777777" w:rsidTr="00665DDB">
        <w:tc>
          <w:tcPr>
            <w:tcW w:w="9340" w:type="dxa"/>
            <w:shd w:val="clear" w:color="auto" w:fill="F2F2F2" w:themeFill="background1" w:themeFillShade="F2"/>
          </w:tcPr>
          <w:p w14:paraId="394CCFFF" w14:textId="77777777" w:rsidR="00BA0051" w:rsidRPr="00EC6D3C" w:rsidRDefault="00BA0051" w:rsidP="00BA0051">
            <w:pPr>
              <w:spacing w:before="60"/>
              <w:rPr>
                <w:i/>
              </w:rPr>
            </w:pPr>
            <w:r w:rsidRPr="00EC6D3C">
              <w:rPr>
                <w:b/>
                <w:i/>
              </w:rPr>
              <w:t>How to Account for Parking.</w:t>
            </w:r>
            <w:r w:rsidRPr="00EC6D3C">
              <w:rPr>
                <w:b/>
              </w:rPr>
              <w:t xml:space="preserve"> </w:t>
            </w:r>
            <w:r w:rsidRPr="00EC6D3C">
              <w:rPr>
                <w:i/>
              </w:rPr>
              <w:t xml:space="preserve">When parking is part of a building, it does not count towards gross floor area, since Portfolio Manager focuses on the energy use of the actual building interior. For example, if you have a building with 100,000 square feet of office space and 20,000 square feet of parking, you should enter a gross floor area of 100,000 square feet into Portfolio Manager. You may be prompted to enter information on </w:t>
            </w:r>
            <w:proofErr w:type="gramStart"/>
            <w:r w:rsidRPr="00EC6D3C">
              <w:rPr>
                <w:i/>
              </w:rPr>
              <w:t>parking</w:t>
            </w:r>
            <w:proofErr w:type="gramEnd"/>
            <w:r w:rsidRPr="00EC6D3C">
              <w:rPr>
                <w:i/>
              </w:rPr>
              <w:t xml:space="preserve"> area, but it will not count towards your gross floor area. </w:t>
            </w:r>
          </w:p>
          <w:p w14:paraId="52D43A1C" w14:textId="77777777" w:rsidR="00BA0051" w:rsidRPr="00EC6D3C" w:rsidRDefault="00BA0051" w:rsidP="00BA0051">
            <w:pPr>
              <w:rPr>
                <w:i/>
              </w:rPr>
            </w:pPr>
          </w:p>
          <w:p w14:paraId="32C62129" w14:textId="77777777" w:rsidR="00BA0051" w:rsidRPr="00EC6D3C" w:rsidRDefault="00BA0051" w:rsidP="00BA0051">
            <w:pPr>
              <w:pStyle w:val="NormalWeb"/>
              <w:spacing w:before="0" w:beforeAutospacing="0" w:after="0" w:afterAutospacing="0"/>
              <w:rPr>
                <w:rFonts w:asciiTheme="minorHAnsi" w:hAnsiTheme="minorHAnsi"/>
                <w:i/>
                <w:sz w:val="22"/>
                <w:szCs w:val="22"/>
              </w:rPr>
            </w:pPr>
            <w:r w:rsidRPr="00EC6D3C">
              <w:rPr>
                <w:rFonts w:asciiTheme="minorHAnsi" w:hAnsiTheme="minorHAnsi"/>
                <w:i/>
                <w:sz w:val="22"/>
                <w:szCs w:val="22"/>
              </w:rPr>
              <w:t>You have two options to receive an ENERGY STAR score for a property with an exterior parking lot or parking garage:</w:t>
            </w:r>
          </w:p>
          <w:p w14:paraId="75F2E554" w14:textId="77777777" w:rsidR="00BA0051" w:rsidRPr="00EC6D3C" w:rsidRDefault="00BA0051" w:rsidP="00BA0051">
            <w:pPr>
              <w:numPr>
                <w:ilvl w:val="0"/>
                <w:numId w:val="1"/>
              </w:numPr>
              <w:spacing w:before="100"/>
              <w:rPr>
                <w:rFonts w:eastAsia="Times New Roman"/>
                <w:i/>
                <w:u w:val="single"/>
              </w:rPr>
            </w:pPr>
            <w:r w:rsidRPr="00EC6D3C">
              <w:rPr>
                <w:rFonts w:eastAsia="Times New Roman"/>
                <w:bCs/>
                <w:i/>
                <w:u w:val="single"/>
              </w:rPr>
              <w:t xml:space="preserve">Sub-meter </w:t>
            </w:r>
            <w:proofErr w:type="gramStart"/>
            <w:r w:rsidRPr="00EC6D3C">
              <w:rPr>
                <w:rFonts w:eastAsia="Times New Roman"/>
                <w:bCs/>
                <w:i/>
                <w:u w:val="single"/>
              </w:rPr>
              <w:t>your</w:t>
            </w:r>
            <w:proofErr w:type="gramEnd"/>
            <w:r w:rsidRPr="00EC6D3C">
              <w:rPr>
                <w:rFonts w:eastAsia="Times New Roman"/>
                <w:bCs/>
                <w:i/>
                <w:u w:val="single"/>
              </w:rPr>
              <w:t xml:space="preserve"> parking and exclude its energy. (*Recommended*)</w:t>
            </w:r>
            <w:r w:rsidRPr="00EC6D3C">
              <w:rPr>
                <w:rFonts w:eastAsia="Times New Roman"/>
                <w:i/>
                <w:u w:val="single"/>
              </w:rPr>
              <w:t xml:space="preserve"> </w:t>
            </w:r>
          </w:p>
          <w:p w14:paraId="0254B3A4" w14:textId="77777777" w:rsidR="00BA0051" w:rsidRPr="00EC6D3C" w:rsidRDefault="00BA0051" w:rsidP="00BA0051">
            <w:pPr>
              <w:numPr>
                <w:ilvl w:val="1"/>
                <w:numId w:val="1"/>
              </w:numPr>
              <w:spacing w:before="100" w:beforeAutospacing="1" w:after="100" w:afterAutospacing="1"/>
              <w:rPr>
                <w:rFonts w:eastAsia="Times New Roman"/>
                <w:i/>
              </w:rPr>
            </w:pPr>
            <w:r w:rsidRPr="00EC6D3C">
              <w:rPr>
                <w:rFonts w:eastAsia="Times New Roman"/>
                <w:i/>
              </w:rPr>
              <w:t>Do not enter a parking Property Use</w:t>
            </w:r>
          </w:p>
          <w:p w14:paraId="067C5241" w14:textId="77777777" w:rsidR="00BA0051" w:rsidRPr="00EC6D3C" w:rsidRDefault="00BA0051" w:rsidP="00BA0051">
            <w:pPr>
              <w:numPr>
                <w:ilvl w:val="1"/>
                <w:numId w:val="1"/>
              </w:numPr>
              <w:spacing w:before="100" w:beforeAutospacing="1" w:after="100" w:afterAutospacing="1"/>
              <w:rPr>
                <w:rFonts w:eastAsia="Times New Roman"/>
                <w:i/>
              </w:rPr>
            </w:pPr>
            <w:r w:rsidRPr="00EC6D3C">
              <w:rPr>
                <w:rFonts w:eastAsia="Times New Roman"/>
                <w:i/>
              </w:rPr>
              <w:t>Do not enter the energy for your parking in Portfolio Manager</w:t>
            </w:r>
          </w:p>
          <w:p w14:paraId="6A6C3984" w14:textId="77777777" w:rsidR="00F12F54" w:rsidRPr="00F12F54" w:rsidRDefault="00BA0051" w:rsidP="00F12F54">
            <w:pPr>
              <w:numPr>
                <w:ilvl w:val="1"/>
                <w:numId w:val="1"/>
              </w:numPr>
              <w:spacing w:before="100" w:beforeAutospacing="1" w:after="100" w:afterAutospacing="1"/>
              <w:rPr>
                <w:i/>
              </w:rPr>
            </w:pPr>
            <w:r w:rsidRPr="00F12F54">
              <w:rPr>
                <w:rFonts w:eastAsia="Times New Roman"/>
                <w:i/>
              </w:rPr>
              <w:t xml:space="preserve">If your parking garage </w:t>
            </w:r>
            <w:r w:rsidRPr="00F12F54">
              <w:rPr>
                <w:rFonts w:eastAsia="Times New Roman"/>
                <w:b/>
                <w:bCs/>
                <w:i/>
                <w:iCs/>
              </w:rPr>
              <w:t>is physically connected</w:t>
            </w:r>
            <w:r w:rsidRPr="00F12F54">
              <w:rPr>
                <w:rFonts w:eastAsia="Times New Roman"/>
                <w:i/>
              </w:rPr>
              <w:t xml:space="preserve"> with your building and part of a single structure, then the </w:t>
            </w:r>
            <w:r w:rsidR="00F12F54" w:rsidRPr="00F12F54">
              <w:rPr>
                <w:rFonts w:eastAsia="Times New Roman"/>
                <w:b/>
                <w:bCs/>
                <w:i/>
              </w:rPr>
              <w:t>parking (f</w:t>
            </w:r>
            <w:r w:rsidRPr="00F12F54">
              <w:rPr>
                <w:rFonts w:eastAsia="Times New Roman"/>
                <w:b/>
                <w:bCs/>
                <w:i/>
              </w:rPr>
              <w:t xml:space="preserve">ully or </w:t>
            </w:r>
            <w:r w:rsidR="00F12F54" w:rsidRPr="00F12F54">
              <w:rPr>
                <w:rFonts w:eastAsia="Times New Roman"/>
                <w:b/>
                <w:bCs/>
                <w:i/>
              </w:rPr>
              <w:t>p</w:t>
            </w:r>
            <w:r w:rsidRPr="00F12F54">
              <w:rPr>
                <w:rFonts w:eastAsia="Times New Roman"/>
                <w:b/>
                <w:bCs/>
                <w:i/>
              </w:rPr>
              <w:t xml:space="preserve">artially </w:t>
            </w:r>
            <w:r w:rsidR="00F12F54" w:rsidRPr="00F12F54">
              <w:rPr>
                <w:rFonts w:eastAsia="Times New Roman"/>
                <w:b/>
                <w:bCs/>
                <w:i/>
              </w:rPr>
              <w:t>e</w:t>
            </w:r>
            <w:r w:rsidRPr="00F12F54">
              <w:rPr>
                <w:rFonts w:eastAsia="Times New Roman"/>
                <w:b/>
                <w:bCs/>
                <w:i/>
              </w:rPr>
              <w:t>nclosed) cannot</w:t>
            </w:r>
            <w:r w:rsidR="00F12F54" w:rsidRPr="00F12F54">
              <w:rPr>
                <w:rFonts w:eastAsia="Times New Roman"/>
                <w:b/>
                <w:bCs/>
                <w:i/>
              </w:rPr>
              <w:t xml:space="preserve"> be more than 75% of the total p</w:t>
            </w:r>
            <w:r w:rsidRPr="00F12F54">
              <w:rPr>
                <w:rFonts w:eastAsia="Times New Roman"/>
                <w:b/>
                <w:bCs/>
                <w:i/>
              </w:rPr>
              <w:t>roperty GFA</w:t>
            </w:r>
            <w:r w:rsidRPr="00F12F54">
              <w:rPr>
                <w:rFonts w:eastAsia="Times New Roman"/>
                <w:i/>
              </w:rPr>
              <w:t>. For example, a pro</w:t>
            </w:r>
            <w:r w:rsidR="00CD1D5F">
              <w:rPr>
                <w:rFonts w:eastAsia="Times New Roman"/>
                <w:i/>
              </w:rPr>
              <w:t>perty that is 100,000 square fee</w:t>
            </w:r>
            <w:r w:rsidRPr="00F12F54">
              <w:rPr>
                <w:rFonts w:eastAsia="Times New Roman"/>
                <w:i/>
              </w:rPr>
              <w:t>t</w:t>
            </w:r>
            <w:r w:rsidR="00CD1D5F">
              <w:rPr>
                <w:rFonts w:eastAsia="Times New Roman"/>
                <w:i/>
              </w:rPr>
              <w:t xml:space="preserve"> (SF)</w:t>
            </w:r>
            <w:r w:rsidRPr="00F12F54">
              <w:rPr>
                <w:rFonts w:eastAsia="Times New Roman"/>
                <w:i/>
              </w:rPr>
              <w:t xml:space="preserve">, with 80,000 </w:t>
            </w:r>
            <w:r w:rsidR="00CD1D5F">
              <w:rPr>
                <w:rFonts w:eastAsia="Times New Roman"/>
                <w:i/>
              </w:rPr>
              <w:t>SF</w:t>
            </w:r>
            <w:r w:rsidRPr="00F12F54">
              <w:rPr>
                <w:rFonts w:eastAsia="Times New Roman"/>
                <w:i/>
              </w:rPr>
              <w:t xml:space="preserve"> Parking and 20,000 </w:t>
            </w:r>
            <w:r w:rsidR="00CD1D5F">
              <w:rPr>
                <w:rFonts w:eastAsia="Times New Roman"/>
                <w:i/>
              </w:rPr>
              <w:t>SF</w:t>
            </w:r>
            <w:r w:rsidRPr="00F12F54">
              <w:rPr>
                <w:rFonts w:eastAsia="Times New Roman"/>
                <w:i/>
              </w:rPr>
              <w:t xml:space="preserve"> Office is considered a P</w:t>
            </w:r>
            <w:r w:rsidR="00D459CA">
              <w:rPr>
                <w:rFonts w:eastAsia="Times New Roman"/>
                <w:i/>
              </w:rPr>
              <w:t xml:space="preserve">arking Garage by EPA and cannot receive an accurate </w:t>
            </w:r>
            <w:r w:rsidRPr="00F12F54">
              <w:rPr>
                <w:rFonts w:eastAsia="Times New Roman"/>
                <w:i/>
              </w:rPr>
              <w:t>ENERGY STAR</w:t>
            </w:r>
            <w:r w:rsidR="00D459CA">
              <w:rPr>
                <w:rFonts w:eastAsia="Times New Roman"/>
                <w:i/>
              </w:rPr>
              <w:t xml:space="preserve"> score or earn ENERGY STAR cer</w:t>
            </w:r>
            <w:r w:rsidR="00D459CA" w:rsidRPr="00F12F54">
              <w:rPr>
                <w:rFonts w:eastAsia="Times New Roman"/>
                <w:i/>
              </w:rPr>
              <w:t>tification</w:t>
            </w:r>
            <w:r w:rsidRPr="00F12F54">
              <w:rPr>
                <w:rFonts w:eastAsia="Times New Roman"/>
                <w:i/>
              </w:rPr>
              <w:t>. This limit does not apply to Open Parking Lots.</w:t>
            </w:r>
          </w:p>
          <w:p w14:paraId="54E76CBC" w14:textId="77777777" w:rsidR="00F12F54" w:rsidRPr="00F12F54" w:rsidRDefault="00BA0051" w:rsidP="00F12F54">
            <w:pPr>
              <w:numPr>
                <w:ilvl w:val="1"/>
                <w:numId w:val="1"/>
              </w:numPr>
              <w:spacing w:before="100" w:beforeAutospacing="1" w:after="100" w:afterAutospacing="1"/>
              <w:rPr>
                <w:i/>
              </w:rPr>
            </w:pPr>
            <w:r w:rsidRPr="00F12F54">
              <w:rPr>
                <w:rFonts w:eastAsia="Times New Roman"/>
                <w:i/>
              </w:rPr>
              <w:t xml:space="preserve">If your parking garage </w:t>
            </w:r>
            <w:r w:rsidRPr="00F12F54">
              <w:rPr>
                <w:rFonts w:eastAsia="Times New Roman"/>
                <w:b/>
                <w:bCs/>
                <w:i/>
                <w:iCs/>
              </w:rPr>
              <w:t>is not physically connected</w:t>
            </w:r>
            <w:r w:rsidRPr="00F12F54">
              <w:rPr>
                <w:rFonts w:eastAsia="Times New Roman"/>
                <w:i/>
              </w:rPr>
              <w:t xml:space="preserve"> to your </w:t>
            </w:r>
            <w:proofErr w:type="gramStart"/>
            <w:r w:rsidRPr="00F12F54">
              <w:rPr>
                <w:rFonts w:eastAsia="Times New Roman"/>
                <w:i/>
              </w:rPr>
              <w:t>building, but</w:t>
            </w:r>
            <w:proofErr w:type="gramEnd"/>
            <w:r w:rsidRPr="00F12F54">
              <w:rPr>
                <w:rFonts w:eastAsia="Times New Roman"/>
                <w:i/>
              </w:rPr>
              <w:t xml:space="preserve"> rather is a separate stru</w:t>
            </w:r>
            <w:r w:rsidRPr="00314253">
              <w:rPr>
                <w:rFonts w:eastAsia="Times New Roman"/>
                <w:i/>
              </w:rPr>
              <w:t>cture then there is no limit as to its size.</w:t>
            </w:r>
            <w:r w:rsidR="00F12F54" w:rsidRPr="00314253">
              <w:rPr>
                <w:i/>
              </w:rPr>
              <w:t xml:space="preserve"> </w:t>
            </w:r>
          </w:p>
          <w:p w14:paraId="4D435983" w14:textId="77777777" w:rsidR="00BA0051" w:rsidRPr="00EC6D3C" w:rsidRDefault="00BA0051" w:rsidP="00F12F54">
            <w:pPr>
              <w:numPr>
                <w:ilvl w:val="0"/>
                <w:numId w:val="1"/>
              </w:numPr>
              <w:spacing w:before="200" w:after="100" w:afterAutospacing="1"/>
              <w:rPr>
                <w:rFonts w:eastAsia="Times New Roman"/>
                <w:i/>
                <w:u w:val="single"/>
              </w:rPr>
            </w:pPr>
            <w:r w:rsidRPr="00EC6D3C">
              <w:rPr>
                <w:rFonts w:eastAsia="Times New Roman"/>
                <w:bCs/>
                <w:i/>
                <w:u w:val="single"/>
              </w:rPr>
              <w:t xml:space="preserve">Benchmark your parking and its energy use. </w:t>
            </w:r>
          </w:p>
          <w:p w14:paraId="2BCDE20A" w14:textId="77777777" w:rsidR="00BA0051" w:rsidRPr="00EC6D3C" w:rsidRDefault="00BA0051" w:rsidP="00BA0051">
            <w:pPr>
              <w:numPr>
                <w:ilvl w:val="1"/>
                <w:numId w:val="1"/>
              </w:numPr>
              <w:spacing w:before="100" w:beforeAutospacing="1" w:after="100" w:afterAutospacing="1"/>
              <w:rPr>
                <w:rFonts w:eastAsia="Times New Roman"/>
                <w:i/>
              </w:rPr>
            </w:pPr>
            <w:r w:rsidRPr="00EC6D3C">
              <w:rPr>
                <w:rFonts w:eastAsia="Times New Roman"/>
                <w:i/>
              </w:rPr>
              <w:t xml:space="preserve">Add </w:t>
            </w:r>
            <w:proofErr w:type="gramStart"/>
            <w:r w:rsidRPr="00EC6D3C">
              <w:rPr>
                <w:rFonts w:eastAsia="Times New Roman"/>
                <w:i/>
              </w:rPr>
              <w:t xml:space="preserve">a </w:t>
            </w:r>
            <w:r w:rsidRPr="00EC6D3C">
              <w:rPr>
                <w:rFonts w:eastAsia="Times New Roman"/>
                <w:b/>
                <w:i/>
              </w:rPr>
              <w:t>Property</w:t>
            </w:r>
            <w:proofErr w:type="gramEnd"/>
            <w:r w:rsidRPr="00EC6D3C">
              <w:rPr>
                <w:rFonts w:eastAsia="Times New Roman"/>
                <w:b/>
                <w:i/>
              </w:rPr>
              <w:t xml:space="preserve"> Use</w:t>
            </w:r>
            <w:r w:rsidRPr="00EC6D3C">
              <w:rPr>
                <w:rFonts w:eastAsia="Times New Roman"/>
                <w:i/>
              </w:rPr>
              <w:t xml:space="preserve"> for your parking. </w:t>
            </w:r>
          </w:p>
          <w:p w14:paraId="14655F3F" w14:textId="77777777" w:rsidR="00BA0051" w:rsidRPr="00EC6D3C" w:rsidRDefault="00BA0051" w:rsidP="00BA0051">
            <w:pPr>
              <w:numPr>
                <w:ilvl w:val="2"/>
                <w:numId w:val="1"/>
              </w:numPr>
              <w:spacing w:before="100" w:beforeAutospacing="1" w:after="100" w:afterAutospacing="1"/>
              <w:rPr>
                <w:rFonts w:eastAsia="Times New Roman"/>
                <w:i/>
              </w:rPr>
            </w:pPr>
            <w:proofErr w:type="gramStart"/>
            <w:r w:rsidRPr="00EC6D3C">
              <w:rPr>
                <w:rFonts w:eastAsia="Times New Roman"/>
                <w:i/>
              </w:rPr>
              <w:t>Report</w:t>
            </w:r>
            <w:proofErr w:type="gramEnd"/>
            <w:r w:rsidRPr="00EC6D3C">
              <w:rPr>
                <w:rFonts w:eastAsia="Times New Roman"/>
                <w:i/>
              </w:rPr>
              <w:t xml:space="preserve"> the Gross Floor Area (GFA) of each type of parking (Fully Enclosed, Partially Enclosed, and Open)</w:t>
            </w:r>
          </w:p>
          <w:p w14:paraId="10039D8D" w14:textId="77777777" w:rsidR="00BA0051" w:rsidRPr="00EC6D3C" w:rsidRDefault="00BA0051" w:rsidP="00BA0051">
            <w:pPr>
              <w:numPr>
                <w:ilvl w:val="1"/>
                <w:numId w:val="1"/>
              </w:numPr>
              <w:spacing w:before="100" w:beforeAutospacing="1" w:after="100" w:afterAutospacing="1"/>
              <w:rPr>
                <w:rFonts w:eastAsia="Times New Roman"/>
                <w:i/>
              </w:rPr>
            </w:pPr>
            <w:r w:rsidRPr="00EC6D3C">
              <w:rPr>
                <w:rFonts w:eastAsia="Times New Roman"/>
                <w:i/>
              </w:rPr>
              <w:t>Include all parking energy in your energy meters.</w:t>
            </w:r>
          </w:p>
          <w:p w14:paraId="75BFDD65" w14:textId="77777777" w:rsidR="00BA0051" w:rsidRPr="00EC6D3C" w:rsidRDefault="00BA0051" w:rsidP="00BA0051">
            <w:pPr>
              <w:numPr>
                <w:ilvl w:val="1"/>
                <w:numId w:val="1"/>
              </w:numPr>
              <w:spacing w:before="100" w:beforeAutospacing="1" w:after="100" w:afterAutospacing="1"/>
              <w:rPr>
                <w:rFonts w:eastAsia="Times New Roman"/>
              </w:rPr>
            </w:pPr>
            <w:r w:rsidRPr="00EC6D3C">
              <w:rPr>
                <w:rFonts w:eastAsia="Times New Roman"/>
                <w:i/>
              </w:rPr>
              <w:t>Regardless of physical connection, the GFA of your Parking (Fully Enclosed and Partially Enclosed)</w:t>
            </w:r>
            <w:r w:rsidRPr="00EC6D3C">
              <w:rPr>
                <w:rFonts w:eastAsia="Times New Roman"/>
                <w:b/>
                <w:bCs/>
                <w:i/>
              </w:rPr>
              <w:t xml:space="preserve"> cannot account for more than 50%</w:t>
            </w:r>
            <w:r w:rsidRPr="00EC6D3C">
              <w:rPr>
                <w:rFonts w:eastAsia="Times New Roman"/>
                <w:i/>
              </w:rPr>
              <w:t xml:space="preserve"> of your total Property GFA.</w:t>
            </w:r>
          </w:p>
          <w:p w14:paraId="5C9D6E37" w14:textId="0AD3A14A" w:rsidR="00BA0051" w:rsidRPr="00665DDB" w:rsidRDefault="00BA0051" w:rsidP="00BA0051">
            <w:pPr>
              <w:spacing w:after="60"/>
              <w:rPr>
                <w:bCs/>
              </w:rPr>
            </w:pPr>
            <w:r w:rsidRPr="00665DDB">
              <w:rPr>
                <w:rFonts w:eastAsia="Times New Roman"/>
              </w:rPr>
              <w:t xml:space="preserve">Review </w:t>
            </w:r>
            <w:hyperlink r:id="rId17" w:history="1">
              <w:r w:rsidRPr="00665DDB">
                <w:rPr>
                  <w:rStyle w:val="Hyperlink"/>
                  <w:rFonts w:eastAsia="Times New Roman"/>
                </w:rPr>
                <w:t>this document</w:t>
              </w:r>
            </w:hyperlink>
            <w:r w:rsidRPr="00665DDB">
              <w:rPr>
                <w:rFonts w:eastAsia="Times New Roman"/>
              </w:rPr>
              <w:t xml:space="preserve"> for more information on accounting for parking.</w:t>
            </w:r>
          </w:p>
        </w:tc>
      </w:tr>
    </w:tbl>
    <w:p w14:paraId="197DE707" w14:textId="77777777" w:rsidR="00717EB1" w:rsidRPr="00204C93" w:rsidRDefault="47F60B3C" w:rsidP="6657A744">
      <w:pPr>
        <w:pStyle w:val="Heading1"/>
        <w:rPr>
          <w:b/>
          <w:bCs/>
          <w:color w:val="006666" w:themeColor="accent6"/>
        </w:rPr>
      </w:pPr>
      <w:bookmarkStart w:id="2" w:name="_Toc430955069"/>
      <w:bookmarkStart w:id="3" w:name="_Toc502146988"/>
      <w:bookmarkStart w:id="4" w:name="_Toc430955067"/>
      <w:bookmarkStart w:id="5" w:name="_Ref431538684"/>
      <w:r w:rsidRPr="6657A744">
        <w:rPr>
          <w:b/>
          <w:bCs/>
          <w:color w:val="006666" w:themeColor="accent6"/>
        </w:rPr>
        <w:lastRenderedPageBreak/>
        <w:t xml:space="preserve">Step 2. </w:t>
      </w:r>
      <w:r w:rsidR="7E6C54FC" w:rsidRPr="6657A744">
        <w:rPr>
          <w:b/>
          <w:bCs/>
          <w:color w:val="006666" w:themeColor="accent6"/>
        </w:rPr>
        <w:t>Assign</w:t>
      </w:r>
      <w:r w:rsidR="39589947" w:rsidRPr="6657A744">
        <w:rPr>
          <w:b/>
          <w:bCs/>
          <w:color w:val="006666" w:themeColor="accent6"/>
        </w:rPr>
        <w:t xml:space="preserve"> the Boulder Energy Reporting ID</w:t>
      </w:r>
      <w:bookmarkEnd w:id="2"/>
      <w:bookmarkEnd w:id="3"/>
      <w:r w:rsidR="7B132009" w:rsidRPr="6657A744">
        <w:rPr>
          <w:b/>
          <w:bCs/>
          <w:color w:val="006666" w:themeColor="accent6"/>
        </w:rPr>
        <w:t xml:space="preserve"> </w:t>
      </w:r>
    </w:p>
    <w:p w14:paraId="0E14C925" w14:textId="77777777" w:rsidR="00717EB1" w:rsidRDefault="00717EB1" w:rsidP="00717EB1">
      <w:r>
        <w:t xml:space="preserve">Each building required to report energy performance under Boulder’s Building Performance Ordinance has a unique ID, the </w:t>
      </w:r>
      <w:r w:rsidRPr="00314253">
        <w:rPr>
          <w:b/>
        </w:rPr>
        <w:t>Boulder Energy Reporting ID</w:t>
      </w:r>
      <w:r>
        <w:rPr>
          <w:b/>
          <w:color w:val="004C4C" w:themeColor="accent1" w:themeShade="BF"/>
        </w:rPr>
        <w:t xml:space="preserve">. </w:t>
      </w:r>
      <w:r w:rsidRPr="00BC5C9E">
        <w:rPr>
          <w:b/>
        </w:rPr>
        <w:t>Adding this ID to your</w:t>
      </w:r>
      <w:r w:rsidRPr="00BC5C9E">
        <w:rPr>
          <w:b/>
          <w:color w:val="004C4C" w:themeColor="accent1" w:themeShade="BF"/>
        </w:rPr>
        <w:t xml:space="preserve"> </w:t>
      </w:r>
      <w:r w:rsidRPr="00BC5C9E">
        <w:rPr>
          <w:b/>
        </w:rPr>
        <w:t>building ensures the usage reported is attributed to the correct building during compliance checks.</w:t>
      </w:r>
    </w:p>
    <w:tbl>
      <w:tblPr>
        <w:tblStyle w:val="TableGrid"/>
        <w:tblW w:w="0" w:type="auto"/>
        <w:tblBorders>
          <w:top w:val="single" w:sz="8" w:space="0" w:color="006666" w:themeColor="accent3"/>
          <w:left w:val="single" w:sz="8" w:space="0" w:color="006666" w:themeColor="accent3"/>
          <w:bottom w:val="single" w:sz="8" w:space="0" w:color="006666" w:themeColor="accent3"/>
          <w:right w:val="single" w:sz="8" w:space="0" w:color="006666" w:themeColor="accent3"/>
          <w:insid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w:noHBand="0" w:noVBand="1"/>
      </w:tblPr>
      <w:tblGrid>
        <w:gridCol w:w="9340"/>
      </w:tblGrid>
      <w:tr w:rsidR="00717EB1" w:rsidRPr="003F4309" w14:paraId="029ECCDA" w14:textId="77777777" w:rsidTr="003F4309">
        <w:tc>
          <w:tcPr>
            <w:tcW w:w="9576" w:type="dxa"/>
            <w:shd w:val="clear" w:color="auto" w:fill="F2F2F2" w:themeFill="background1" w:themeFillShade="F2"/>
          </w:tcPr>
          <w:p w14:paraId="4E753C80" w14:textId="77777777" w:rsidR="00717EB1" w:rsidRPr="003F4309" w:rsidRDefault="00717EB1" w:rsidP="006E2DF9">
            <w:pPr>
              <w:spacing w:before="60" w:after="60"/>
              <w:rPr>
                <w:i/>
              </w:rPr>
            </w:pPr>
            <w:r w:rsidRPr="003F4309">
              <w:rPr>
                <w:i/>
              </w:rPr>
              <w:t xml:space="preserve">To locate your </w:t>
            </w:r>
            <w:r w:rsidRPr="00314253">
              <w:rPr>
                <w:b/>
                <w:i/>
              </w:rPr>
              <w:t>Boulder Energy Reporting ID</w:t>
            </w:r>
            <w:r w:rsidRPr="00314253">
              <w:rPr>
                <w:i/>
              </w:rPr>
              <w:t>,</w:t>
            </w:r>
            <w:r w:rsidRPr="003F4309">
              <w:rPr>
                <w:i/>
              </w:rPr>
              <w:t xml:space="preserve"> review your ordinance notification letter from the City of Boulder, or find your building </w:t>
            </w:r>
            <w:r w:rsidR="00BE5ACD">
              <w:rPr>
                <w:i/>
              </w:rPr>
              <w:t xml:space="preserve">on the </w:t>
            </w:r>
            <w:r w:rsidR="00776BC6" w:rsidRPr="006E2DF9">
              <w:rPr>
                <w:b/>
                <w:i/>
              </w:rPr>
              <w:t xml:space="preserve">Affected </w:t>
            </w:r>
            <w:r w:rsidR="006E2DF9" w:rsidRPr="006E2DF9">
              <w:rPr>
                <w:b/>
                <w:i/>
              </w:rPr>
              <w:t>Building</w:t>
            </w:r>
            <w:r w:rsidR="00776BC6" w:rsidRPr="006E2DF9">
              <w:rPr>
                <w:b/>
                <w:i/>
              </w:rPr>
              <w:t xml:space="preserve"> List</w:t>
            </w:r>
            <w:r w:rsidR="00776BC6" w:rsidRPr="00776BC6">
              <w:rPr>
                <w:i/>
              </w:rPr>
              <w:t xml:space="preserve"> </w:t>
            </w:r>
            <w:r w:rsidR="00BE5ACD">
              <w:rPr>
                <w:i/>
              </w:rPr>
              <w:t xml:space="preserve">on the program </w:t>
            </w:r>
            <w:hyperlink r:id="rId18" w:history="1">
              <w:r w:rsidR="00BE5ACD" w:rsidRPr="00BE5ACD">
                <w:rPr>
                  <w:rStyle w:val="Hyperlink"/>
                  <w:i/>
                </w:rPr>
                <w:t>website</w:t>
              </w:r>
            </w:hyperlink>
            <w:r w:rsidR="00BB0847">
              <w:rPr>
                <w:i/>
              </w:rPr>
              <w:t>.</w:t>
            </w:r>
          </w:p>
        </w:tc>
      </w:tr>
    </w:tbl>
    <w:p w14:paraId="21256C36" w14:textId="77777777" w:rsidR="00717EB1" w:rsidRDefault="00717EB1" w:rsidP="00717EB1">
      <w:pPr>
        <w:pStyle w:val="ListParagraph"/>
      </w:pPr>
    </w:p>
    <w:p w14:paraId="33B5231F" w14:textId="77777777" w:rsidR="00717EB1" w:rsidRDefault="00CD1D5F" w:rsidP="00717EB1">
      <w:pPr>
        <w:pStyle w:val="ListParagraph"/>
        <w:numPr>
          <w:ilvl w:val="0"/>
          <w:numId w:val="4"/>
        </w:numPr>
      </w:pPr>
      <w:r>
        <w:t>To assign the ID, o</w:t>
      </w:r>
      <w:r w:rsidR="00717EB1">
        <w:t xml:space="preserve">pen the </w:t>
      </w:r>
      <w:r w:rsidR="00717EB1" w:rsidRPr="001809AF">
        <w:rPr>
          <w:b/>
        </w:rPr>
        <w:t>Details</w:t>
      </w:r>
      <w:r w:rsidR="00717EB1">
        <w:t xml:space="preserve"> sub-tab for your property.</w:t>
      </w:r>
    </w:p>
    <w:p w14:paraId="4EF74756" w14:textId="5F8AE3D4" w:rsidR="00717EB1" w:rsidRDefault="00717EB1" w:rsidP="00BB66E4">
      <w:pPr>
        <w:pStyle w:val="ListParagraph"/>
        <w:numPr>
          <w:ilvl w:val="0"/>
          <w:numId w:val="4"/>
        </w:numPr>
      </w:pPr>
      <w:r>
        <w:t xml:space="preserve">Click “edit” in the box </w:t>
      </w:r>
      <w:r w:rsidRPr="001809AF">
        <w:rPr>
          <w:b/>
        </w:rPr>
        <w:t>Unique Identifiers (IDs)</w:t>
      </w:r>
      <w:r>
        <w:rPr>
          <w:b/>
        </w:rPr>
        <w:t xml:space="preserve"> </w:t>
      </w:r>
      <w:r>
        <w:t xml:space="preserve">in the </w:t>
      </w:r>
      <w:r w:rsidR="00D459CA">
        <w:t xml:space="preserve">bottom </w:t>
      </w:r>
      <w:r>
        <w:t>left.</w:t>
      </w:r>
    </w:p>
    <w:p w14:paraId="7F78939E" w14:textId="40D32C88" w:rsidR="00717EB1" w:rsidRDefault="009B6543" w:rsidP="00717EB1">
      <w:pPr>
        <w:pStyle w:val="ListParagraph"/>
        <w:numPr>
          <w:ilvl w:val="0"/>
          <w:numId w:val="4"/>
        </w:numPr>
      </w:pPr>
      <w:r w:rsidRPr="009B6543">
        <w:t xml:space="preserve">Within the ‘Standard IDs’ box </w:t>
      </w:r>
      <w:proofErr w:type="gramStart"/>
      <w:r w:rsidRPr="009B6543">
        <w:t>find</w:t>
      </w:r>
      <w:proofErr w:type="gramEnd"/>
      <w:r w:rsidRPr="009B6543">
        <w:t xml:space="preserve"> ‘Standard ID- City/Town’</w:t>
      </w:r>
      <w:r w:rsidR="00717EB1">
        <w:t xml:space="preserve"> </w:t>
      </w:r>
    </w:p>
    <w:p w14:paraId="4FC40B62" w14:textId="77777777" w:rsidR="00717EB1" w:rsidRPr="00BB0847" w:rsidRDefault="00717EB1" w:rsidP="00717EB1">
      <w:pPr>
        <w:pStyle w:val="ListParagraph"/>
        <w:numPr>
          <w:ilvl w:val="0"/>
          <w:numId w:val="4"/>
        </w:numPr>
      </w:pPr>
      <w:r>
        <w:t xml:space="preserve">In the dropdown box, </w:t>
      </w:r>
      <w:r w:rsidR="00BB0847" w:rsidRPr="00BB0847">
        <w:t xml:space="preserve">select </w:t>
      </w:r>
      <w:r w:rsidRPr="001A5947">
        <w:rPr>
          <w:i/>
        </w:rPr>
        <w:t>Boulder Energy Reporting ID</w:t>
      </w:r>
      <w:r w:rsidR="001A5947">
        <w:t xml:space="preserve"> from the alphabetical list</w:t>
      </w:r>
      <w:r w:rsidRPr="00BB0847">
        <w:t xml:space="preserve">. </w:t>
      </w:r>
    </w:p>
    <w:p w14:paraId="2EF59987" w14:textId="77777777" w:rsidR="00717EB1" w:rsidRDefault="00717EB1" w:rsidP="00717EB1">
      <w:pPr>
        <w:pStyle w:val="ListParagraph"/>
        <w:numPr>
          <w:ilvl w:val="0"/>
          <w:numId w:val="4"/>
        </w:numPr>
      </w:pPr>
      <w:r w:rsidRPr="00BB0847">
        <w:t>Enter your Boulder Energy Reporting ID number in the ID box to the right and then click “Save</w:t>
      </w:r>
      <w:r>
        <w:t>”.</w:t>
      </w:r>
    </w:p>
    <w:p w14:paraId="1F0F8B3D" w14:textId="77777777" w:rsidR="00717EB1" w:rsidRDefault="00717EB1" w:rsidP="001B0B4D">
      <w:pPr>
        <w:ind w:left="360"/>
      </w:pPr>
      <w:r>
        <w:t>You have now assigned your Boulder Energy Reporting ID to your building.</w:t>
      </w:r>
    </w:p>
    <w:p w14:paraId="325D69AB" w14:textId="77777777" w:rsidR="003F4309" w:rsidRDefault="003F4309">
      <w:pPr>
        <w:rPr>
          <w:rFonts w:asciiTheme="majorHAnsi" w:eastAsiaTheme="majorEastAsia" w:hAnsiTheme="majorHAnsi" w:cstheme="majorBidi"/>
          <w:color w:val="004C4C" w:themeColor="accent1" w:themeShade="BF"/>
          <w:sz w:val="32"/>
          <w:szCs w:val="32"/>
        </w:rPr>
      </w:pPr>
      <w:r>
        <w:br w:type="page"/>
      </w:r>
    </w:p>
    <w:p w14:paraId="44AB9C0A" w14:textId="77777777" w:rsidR="001A5947" w:rsidRDefault="47F60B3C" w:rsidP="6657A744">
      <w:pPr>
        <w:pStyle w:val="Heading1"/>
        <w:rPr>
          <w:b/>
          <w:bCs/>
          <w:color w:val="006666" w:themeColor="accent6"/>
        </w:rPr>
      </w:pPr>
      <w:bookmarkStart w:id="6" w:name="_Toc502146989"/>
      <w:bookmarkStart w:id="7" w:name="_Toc430955068"/>
      <w:bookmarkEnd w:id="4"/>
      <w:bookmarkEnd w:id="5"/>
      <w:r w:rsidRPr="6657A744">
        <w:rPr>
          <w:b/>
          <w:bCs/>
          <w:color w:val="006666" w:themeColor="accent6"/>
        </w:rPr>
        <w:lastRenderedPageBreak/>
        <w:t>Step 3. Enter your Whole-Building Energy Data</w:t>
      </w:r>
      <w:bookmarkEnd w:id="6"/>
    </w:p>
    <w:p w14:paraId="068DFA16" w14:textId="77777777" w:rsidR="0085618E" w:rsidRDefault="00A55480" w:rsidP="0085618E">
      <w:pPr>
        <w:autoSpaceDE w:val="0"/>
        <w:autoSpaceDN w:val="0"/>
        <w:adjustRightInd w:val="0"/>
        <w:spacing w:after="0" w:line="240" w:lineRule="auto"/>
        <w:rPr>
          <w:rFonts w:ascii="Calibri" w:hAnsi="Calibri" w:cs="Calibri"/>
          <w:b/>
          <w:bCs/>
          <w:color w:val="000000"/>
        </w:rPr>
      </w:pPr>
      <w:r>
        <w:rPr>
          <w:rFonts w:ascii="Calibri" w:hAnsi="Calibri" w:cs="Calibri"/>
          <w:color w:val="000000"/>
        </w:rPr>
        <w:t xml:space="preserve">Building owners must report calendar year (Jan 1 through Dec 31) whole-building energy data. This includes whole-building energy consumption of electricity, natural gas, solar, propane, etc. </w:t>
      </w:r>
      <w:r w:rsidR="0085618E" w:rsidRPr="0085618E">
        <w:rPr>
          <w:rFonts w:ascii="Calibri" w:hAnsi="Calibri" w:cs="Calibri"/>
          <w:color w:val="000000"/>
        </w:rPr>
        <w:t xml:space="preserve">If you receive at least one </w:t>
      </w:r>
      <w:proofErr w:type="gramStart"/>
      <w:r w:rsidR="0085618E" w:rsidRPr="0085618E">
        <w:rPr>
          <w:rFonts w:ascii="Calibri" w:hAnsi="Calibri" w:cs="Calibri"/>
          <w:color w:val="000000"/>
        </w:rPr>
        <w:t>fuel</w:t>
      </w:r>
      <w:proofErr w:type="gramEnd"/>
      <w:r w:rsidR="0085618E" w:rsidRPr="0085618E">
        <w:rPr>
          <w:rFonts w:ascii="Calibri" w:hAnsi="Calibri" w:cs="Calibri"/>
          <w:color w:val="000000"/>
        </w:rPr>
        <w:t xml:space="preserve"> from Xcel Energy, you can connect to </w:t>
      </w:r>
      <w:r>
        <w:rPr>
          <w:rFonts w:ascii="Calibri" w:hAnsi="Calibri" w:cs="Calibri"/>
          <w:color w:val="000000"/>
        </w:rPr>
        <w:t>Xcel’s Benchmarking Portal</w:t>
      </w:r>
      <w:r w:rsidR="0085618E" w:rsidRPr="0085618E">
        <w:rPr>
          <w:rFonts w:ascii="Calibri" w:hAnsi="Calibri" w:cs="Calibri"/>
          <w:color w:val="000000"/>
        </w:rPr>
        <w:t xml:space="preserve"> to receive automatic upload of</w:t>
      </w:r>
      <w:r>
        <w:rPr>
          <w:rFonts w:ascii="Calibri" w:hAnsi="Calibri" w:cs="Calibri"/>
          <w:color w:val="000000"/>
        </w:rPr>
        <w:t xml:space="preserve"> aggregated</w:t>
      </w:r>
      <w:r w:rsidR="0085618E" w:rsidRPr="0085618E">
        <w:rPr>
          <w:rFonts w:ascii="Calibri" w:hAnsi="Calibri" w:cs="Calibri"/>
          <w:color w:val="000000"/>
        </w:rPr>
        <w:t xml:space="preserve"> whole-building </w:t>
      </w:r>
      <w:r>
        <w:rPr>
          <w:rFonts w:ascii="Calibri" w:hAnsi="Calibri" w:cs="Calibri"/>
          <w:color w:val="000000"/>
        </w:rPr>
        <w:t xml:space="preserve">energy data directly </w:t>
      </w:r>
      <w:r w:rsidR="0085618E" w:rsidRPr="0085618E">
        <w:rPr>
          <w:rFonts w:ascii="Calibri" w:hAnsi="Calibri" w:cs="Calibri"/>
          <w:color w:val="000000"/>
        </w:rPr>
        <w:t xml:space="preserve">into your Portfolio Manager account. </w:t>
      </w:r>
      <w:r w:rsidR="0085618E" w:rsidRPr="0085618E">
        <w:rPr>
          <w:rFonts w:ascii="Calibri" w:hAnsi="Calibri" w:cs="Calibri"/>
          <w:b/>
          <w:bCs/>
          <w:color w:val="000000"/>
        </w:rPr>
        <w:t xml:space="preserve">This is only for fuels which Xcel Energy provides you. </w:t>
      </w:r>
    </w:p>
    <w:p w14:paraId="0FBFD84A" w14:textId="77777777" w:rsidR="0085618E" w:rsidRPr="0085618E" w:rsidRDefault="0085618E" w:rsidP="0085618E">
      <w:pPr>
        <w:autoSpaceDE w:val="0"/>
        <w:autoSpaceDN w:val="0"/>
        <w:adjustRightInd w:val="0"/>
        <w:spacing w:after="0" w:line="240" w:lineRule="auto"/>
        <w:rPr>
          <w:rFonts w:ascii="Calibri" w:hAnsi="Calibri" w:cs="Calibri"/>
          <w:color w:val="000000"/>
        </w:rPr>
      </w:pPr>
    </w:p>
    <w:p w14:paraId="4DD94E7F" w14:textId="01B898C8" w:rsidR="00A55480" w:rsidRPr="009958C7" w:rsidRDefault="00A55480" w:rsidP="009958C7">
      <w:pPr>
        <w:rPr>
          <w:rFonts w:ascii="Calibri" w:hAnsi="Calibri" w:cs="Calibri"/>
          <w:color w:val="000000"/>
        </w:rPr>
      </w:pPr>
      <w:r w:rsidRPr="00A55480">
        <w:rPr>
          <w:rFonts w:ascii="Calibri" w:hAnsi="Calibri" w:cs="Calibri"/>
        </w:rPr>
        <w:t>To connect your Portfolio Manager account with Xcel Energy</w:t>
      </w:r>
      <w:r w:rsidR="00863D72">
        <w:rPr>
          <w:rFonts w:ascii="Calibri" w:hAnsi="Calibri" w:cs="Calibri"/>
        </w:rPr>
        <w:t>’s portal</w:t>
      </w:r>
      <w:r w:rsidRPr="00A55480">
        <w:rPr>
          <w:rFonts w:ascii="Calibri" w:hAnsi="Calibri" w:cs="Calibri"/>
        </w:rPr>
        <w:t xml:space="preserve">, follow </w:t>
      </w:r>
      <w:r w:rsidR="00863D72">
        <w:rPr>
          <w:rFonts w:ascii="Calibri" w:hAnsi="Calibri" w:cs="Calibri"/>
        </w:rPr>
        <w:t xml:space="preserve">the </w:t>
      </w:r>
      <w:hyperlink r:id="rId19" w:history="1">
        <w:r w:rsidRPr="00A55480">
          <w:rPr>
            <w:rStyle w:val="Hyperlink"/>
            <w:rFonts w:ascii="Calibri" w:hAnsi="Calibri" w:cs="Calibri"/>
          </w:rPr>
          <w:t>Energy Benchmarking Services User Guide</w:t>
        </w:r>
      </w:hyperlink>
      <w:r w:rsidRPr="00A55480">
        <w:rPr>
          <w:rFonts w:ascii="Calibri" w:hAnsi="Calibri" w:cs="Calibri"/>
        </w:rPr>
        <w:t xml:space="preserve"> </w:t>
      </w:r>
      <w:r w:rsidR="007E7E53">
        <w:rPr>
          <w:rFonts w:ascii="Calibri" w:hAnsi="Calibri" w:cs="Calibri"/>
        </w:rPr>
        <w:t xml:space="preserve">on the </w:t>
      </w:r>
      <w:hyperlink r:id="rId20" w:history="1">
        <w:r w:rsidR="007E7E53" w:rsidRPr="007E7E53">
          <w:rPr>
            <w:rStyle w:val="Hyperlink"/>
            <w:rFonts w:ascii="Calibri" w:hAnsi="Calibri" w:cs="Calibri"/>
          </w:rPr>
          <w:t>Xcel Energy Benchmarking site</w:t>
        </w:r>
      </w:hyperlink>
      <w:r w:rsidR="007E7E53">
        <w:rPr>
          <w:rFonts w:ascii="Calibri" w:hAnsi="Calibri" w:cs="Calibri"/>
        </w:rPr>
        <w:t>.</w:t>
      </w:r>
      <w:r w:rsidRPr="00A55480">
        <w:rPr>
          <w:rFonts w:ascii="Calibri" w:hAnsi="Calibri" w:cs="Calibri"/>
        </w:rPr>
        <w:t xml:space="preserve"> </w:t>
      </w:r>
    </w:p>
    <w:p w14:paraId="24A54025" w14:textId="09F1BD0E" w:rsidR="009958C7" w:rsidRPr="009958C7" w:rsidRDefault="33A7CAEC" w:rsidP="009958C7">
      <w:pPr>
        <w:autoSpaceDE w:val="0"/>
        <w:autoSpaceDN w:val="0"/>
        <w:adjustRightInd w:val="0"/>
        <w:spacing w:after="0" w:line="240" w:lineRule="auto"/>
        <w:rPr>
          <w:rFonts w:ascii="Calibri" w:hAnsi="Calibri" w:cs="Calibri"/>
          <w:sz w:val="24"/>
          <w:szCs w:val="24"/>
        </w:rPr>
      </w:pPr>
      <w:r w:rsidRPr="6657A744">
        <w:rPr>
          <w:rFonts w:ascii="Calibri" w:hAnsi="Calibri" w:cs="Calibri"/>
          <w:b/>
          <w:bCs/>
          <w:color w:val="000000"/>
        </w:rPr>
        <w:t xml:space="preserve">If </w:t>
      </w:r>
      <w:proofErr w:type="gramStart"/>
      <w:r w:rsidRPr="6657A744">
        <w:rPr>
          <w:rFonts w:ascii="Calibri" w:hAnsi="Calibri" w:cs="Calibri"/>
          <w:b/>
          <w:bCs/>
          <w:color w:val="000000"/>
        </w:rPr>
        <w:t>your</w:t>
      </w:r>
      <w:proofErr w:type="gramEnd"/>
      <w:r w:rsidRPr="6657A744">
        <w:rPr>
          <w:rFonts w:ascii="Calibri" w:hAnsi="Calibri" w:cs="Calibri"/>
          <w:b/>
          <w:bCs/>
          <w:color w:val="000000"/>
        </w:rPr>
        <w:t xml:space="preserve"> building also consumes energy from a provider other than Xcel Energy</w:t>
      </w:r>
      <w:r w:rsidRPr="6657A744">
        <w:rPr>
          <w:rFonts w:ascii="Calibri" w:hAnsi="Calibri" w:cs="Calibri"/>
          <w:color w:val="000000"/>
        </w:rPr>
        <w:t xml:space="preserve"> (i.e. you receive natural gas from a transport provider such as BP or Tiger), you must manually enter that energy data in Portfolio Manager. Steps on how to create fuel meters and enter </w:t>
      </w:r>
      <w:r w:rsidR="0D00DB6D" w:rsidRPr="6657A744">
        <w:rPr>
          <w:rFonts w:ascii="Calibri" w:hAnsi="Calibri" w:cs="Calibri"/>
          <w:color w:val="000000"/>
        </w:rPr>
        <w:t>the energy</w:t>
      </w:r>
      <w:r w:rsidRPr="6657A744">
        <w:rPr>
          <w:rFonts w:ascii="Calibri" w:hAnsi="Calibri" w:cs="Calibri"/>
          <w:color w:val="000000"/>
        </w:rPr>
        <w:t xml:space="preserve"> data for the calendar year </w:t>
      </w:r>
      <w:r w:rsidR="0D00DB6D" w:rsidRPr="6657A744">
        <w:rPr>
          <w:rFonts w:ascii="Calibri" w:hAnsi="Calibri" w:cs="Calibri"/>
          <w:color w:val="000000"/>
        </w:rPr>
        <w:t xml:space="preserve">into Portfolio Manager </w:t>
      </w:r>
      <w:r w:rsidRPr="6657A744">
        <w:rPr>
          <w:rFonts w:ascii="Calibri" w:hAnsi="Calibri" w:cs="Calibri"/>
          <w:color w:val="000000"/>
        </w:rPr>
        <w:t>are listed below in</w:t>
      </w:r>
      <w:r w:rsidR="0D00DB6D" w:rsidRPr="6657A744">
        <w:rPr>
          <w:rFonts w:ascii="Calibri" w:hAnsi="Calibri" w:cs="Calibri"/>
          <w:color w:val="000000"/>
        </w:rPr>
        <w:t>:</w:t>
      </w:r>
      <w:r w:rsidR="0F5ADA13" w:rsidRPr="6657A744">
        <w:rPr>
          <w:rFonts w:ascii="Calibri" w:hAnsi="Calibri" w:cs="Calibri"/>
          <w:color w:val="000000"/>
        </w:rPr>
        <w:t xml:space="preserve"> </w:t>
      </w:r>
      <w:r w:rsidR="0F5ADA13" w:rsidRPr="6657A744">
        <w:rPr>
          <w:rFonts w:ascii="Calibri" w:hAnsi="Calibri" w:cs="Calibri"/>
          <w:b/>
          <w:bCs/>
          <w:color w:val="000000"/>
        </w:rPr>
        <w:t xml:space="preserve">How to Manually Collect and Enter your Data. </w:t>
      </w:r>
      <w:bookmarkStart w:id="8" w:name="_Toc502146990"/>
    </w:p>
    <w:p w14:paraId="729A9565" w14:textId="77777777" w:rsidR="00D85378" w:rsidRPr="00204C93" w:rsidRDefault="47F60B3C" w:rsidP="6657A744">
      <w:pPr>
        <w:pStyle w:val="Heading1"/>
        <w:rPr>
          <w:b/>
          <w:bCs/>
          <w:color w:val="006666" w:themeColor="accent6"/>
        </w:rPr>
      </w:pPr>
      <w:r w:rsidRPr="6657A744">
        <w:rPr>
          <w:b/>
          <w:bCs/>
          <w:color w:val="006666" w:themeColor="accent6"/>
        </w:rPr>
        <w:t xml:space="preserve">Step 4. </w:t>
      </w:r>
      <w:r w:rsidR="1768A629" w:rsidRPr="6657A744">
        <w:rPr>
          <w:b/>
          <w:bCs/>
          <w:color w:val="006666" w:themeColor="accent6"/>
        </w:rPr>
        <w:t>Run the Data Quality Checker</w:t>
      </w:r>
      <w:bookmarkEnd w:id="7"/>
      <w:bookmarkEnd w:id="8"/>
    </w:p>
    <w:p w14:paraId="2F62283F" w14:textId="77777777" w:rsidR="00863D72" w:rsidRDefault="00863D72" w:rsidP="00D85378">
      <w:r>
        <w:t xml:space="preserve">Once all energy data for the entire calendar </w:t>
      </w:r>
      <w:proofErr w:type="gramStart"/>
      <w:r>
        <w:t>years</w:t>
      </w:r>
      <w:proofErr w:type="gramEnd"/>
      <w:r>
        <w:t xml:space="preserve"> has been entered into Portfolio Manager, owners must run the Data Quality Checker. </w:t>
      </w:r>
    </w:p>
    <w:p w14:paraId="63AEC9BC" w14:textId="77777777" w:rsidR="00D85378" w:rsidRDefault="00D85378" w:rsidP="00D85378">
      <w:r>
        <w:t xml:space="preserve">The Data Quality Checker is a built-in tool in Portfolio Manager that runs a set of basic data checks to identify potential data entry errors. Common alerts include temporary values, default values, less than 12 months of data, etc. </w:t>
      </w:r>
    </w:p>
    <w:p w14:paraId="38C110E7" w14:textId="6A81F09E" w:rsidR="005D4D90" w:rsidRDefault="00D85378" w:rsidP="007E7E53">
      <w:pPr>
        <w:pStyle w:val="ListParagraph"/>
        <w:numPr>
          <w:ilvl w:val="0"/>
          <w:numId w:val="3"/>
        </w:numPr>
      </w:pPr>
      <w:r>
        <w:t xml:space="preserve">On the property’s </w:t>
      </w:r>
      <w:r w:rsidRPr="00D85378">
        <w:rPr>
          <w:b/>
        </w:rPr>
        <w:t>Summary</w:t>
      </w:r>
      <w:r>
        <w:t xml:space="preserve"> sub-tab, under </w:t>
      </w:r>
      <w:r w:rsidR="00D62693">
        <w:rPr>
          <w:b/>
        </w:rPr>
        <w:t>Check for Possible Data Errors</w:t>
      </w:r>
      <w:r>
        <w:t xml:space="preserve">, select “Check </w:t>
      </w:r>
      <w:r w:rsidR="00D62693">
        <w:t>for Possible Errors</w:t>
      </w:r>
      <w:r w:rsidR="00F377F6">
        <w:t>.</w:t>
      </w:r>
      <w:r>
        <w:t>”</w:t>
      </w:r>
    </w:p>
    <w:p w14:paraId="61B23A45" w14:textId="77777777" w:rsidR="001B0B4D" w:rsidRDefault="00D85378" w:rsidP="001B0B4D">
      <w:pPr>
        <w:pStyle w:val="ListParagraph"/>
        <w:numPr>
          <w:ilvl w:val="0"/>
          <w:numId w:val="3"/>
        </w:numPr>
      </w:pPr>
      <w:r>
        <w:t>Sel</w:t>
      </w:r>
      <w:r w:rsidR="000B4529">
        <w:t xml:space="preserve">ect </w:t>
      </w:r>
      <w:r w:rsidR="00B576E2">
        <w:t xml:space="preserve">“Dec 31” and select the year you are rating then </w:t>
      </w:r>
      <w:r>
        <w:t>click “Run Checker</w:t>
      </w:r>
      <w:r w:rsidR="00F377F6">
        <w:t>.</w:t>
      </w:r>
      <w:r>
        <w:t>”</w:t>
      </w:r>
    </w:p>
    <w:p w14:paraId="0D72466E" w14:textId="77777777" w:rsidR="00D85378" w:rsidRDefault="00D85378" w:rsidP="00113D95">
      <w:pPr>
        <w:pStyle w:val="ListParagraph"/>
        <w:numPr>
          <w:ilvl w:val="0"/>
          <w:numId w:val="3"/>
        </w:numPr>
      </w:pPr>
      <w:r>
        <w:t>Review the list of alerts (if any) and Portfolio Manager’s suggestions to address the issue(s).</w:t>
      </w:r>
    </w:p>
    <w:p w14:paraId="7404A9DF" w14:textId="77777777" w:rsidR="00D85378" w:rsidRDefault="00D85378" w:rsidP="00113D95">
      <w:pPr>
        <w:pStyle w:val="ListParagraph"/>
        <w:numPr>
          <w:ilvl w:val="1"/>
          <w:numId w:val="3"/>
        </w:numPr>
      </w:pPr>
      <w:r>
        <w:t>Common alerts include temporary or estimated values or less than 12 full calendar months of energy bills</w:t>
      </w:r>
      <w:r w:rsidR="00051004">
        <w:t>.</w:t>
      </w:r>
    </w:p>
    <w:p w14:paraId="71F5CDE3" w14:textId="77777777" w:rsidR="00B576E2" w:rsidRPr="00863D72" w:rsidRDefault="00B576E2" w:rsidP="00113D95">
      <w:pPr>
        <w:pStyle w:val="ListParagraph"/>
        <w:numPr>
          <w:ilvl w:val="1"/>
          <w:numId w:val="3"/>
        </w:numPr>
        <w:rPr>
          <w:b/>
        </w:rPr>
      </w:pPr>
      <w:r w:rsidRPr="00863D72">
        <w:rPr>
          <w:b/>
        </w:rPr>
        <w:t>You can ignore waste or water meter alerts!</w:t>
      </w:r>
    </w:p>
    <w:p w14:paraId="7DE883A8" w14:textId="77777777" w:rsidR="00B576E2" w:rsidRDefault="00D62693" w:rsidP="00113D95">
      <w:pPr>
        <w:pStyle w:val="ListParagraph"/>
        <w:numPr>
          <w:ilvl w:val="0"/>
          <w:numId w:val="3"/>
        </w:numPr>
      </w:pPr>
      <w:r>
        <w:t>Following the links in the explanations, m</w:t>
      </w:r>
      <w:r w:rsidR="00D85378">
        <w:t xml:space="preserve">ake </w:t>
      </w:r>
      <w:r>
        <w:t>corrections or updates</w:t>
      </w:r>
      <w:r w:rsidR="00D85378">
        <w:t xml:space="preserve"> to your property</w:t>
      </w:r>
      <w:r>
        <w:t xml:space="preserve"> details</w:t>
      </w:r>
      <w:r w:rsidR="00D85378">
        <w:t xml:space="preserve"> to address as many alerts as possible. </w:t>
      </w:r>
    </w:p>
    <w:p w14:paraId="5C0FD085" w14:textId="77777777" w:rsidR="00D85378" w:rsidRPr="00B576E2" w:rsidRDefault="0078651B" w:rsidP="00B576E2">
      <w:pPr>
        <w:pStyle w:val="ListParagraph"/>
        <w:numPr>
          <w:ilvl w:val="1"/>
          <w:numId w:val="3"/>
        </w:numPr>
        <w:rPr>
          <w:i/>
        </w:rPr>
      </w:pPr>
      <w:r w:rsidRPr="00B576E2">
        <w:rPr>
          <w:i/>
        </w:rPr>
        <w:t>Submittals to the c</w:t>
      </w:r>
      <w:r w:rsidR="00BA1F32" w:rsidRPr="00B576E2">
        <w:rPr>
          <w:i/>
        </w:rPr>
        <w:t>ity will be subject to a quality control review and will be rejected if data input errors are found. In that case, building owners will have thirty days to correct the errors and resubmit the data through Portfolio Manager.</w:t>
      </w:r>
    </w:p>
    <w:p w14:paraId="65BF6E55" w14:textId="77777777" w:rsidR="009958C7" w:rsidRPr="009958C7" w:rsidRDefault="00D85378" w:rsidP="0054014C">
      <w:pPr>
        <w:pStyle w:val="ListParagraph"/>
        <w:numPr>
          <w:ilvl w:val="0"/>
          <w:numId w:val="3"/>
        </w:numPr>
      </w:pPr>
      <w:r>
        <w:t>Once you have made all applicable changes</w:t>
      </w:r>
      <w:r w:rsidR="00AE3619">
        <w:t>, re-r</w:t>
      </w:r>
      <w:r w:rsidR="00D62693">
        <w:t xml:space="preserve">un </w:t>
      </w:r>
      <w:r w:rsidR="00AE3619">
        <w:t>the c</w:t>
      </w:r>
      <w:r w:rsidR="00D62693">
        <w:t>hecker to</w:t>
      </w:r>
      <w:r>
        <w:t xml:space="preserve"> ensure that the alerts have been addressed.</w:t>
      </w:r>
      <w:bookmarkStart w:id="9" w:name="_Toc430955070"/>
      <w:bookmarkStart w:id="10" w:name="_Toc502146991"/>
    </w:p>
    <w:p w14:paraId="7BF8A1EB" w14:textId="77777777" w:rsidR="00F60BA8" w:rsidRPr="00204C93" w:rsidRDefault="47F60B3C" w:rsidP="6657A744">
      <w:pPr>
        <w:pStyle w:val="Heading1"/>
        <w:rPr>
          <w:b/>
          <w:bCs/>
          <w:color w:val="006666" w:themeColor="accent6"/>
        </w:rPr>
      </w:pPr>
      <w:r w:rsidRPr="6657A744">
        <w:rPr>
          <w:b/>
          <w:bCs/>
          <w:color w:val="006666" w:themeColor="accent6"/>
        </w:rPr>
        <w:t xml:space="preserve">Step 5. </w:t>
      </w:r>
      <w:r w:rsidR="61AACD9A" w:rsidRPr="6657A744">
        <w:rPr>
          <w:b/>
          <w:bCs/>
          <w:color w:val="006666" w:themeColor="accent6"/>
        </w:rPr>
        <w:t xml:space="preserve">Submit your Data to the </w:t>
      </w:r>
      <w:r w:rsidR="689FA42B" w:rsidRPr="6657A744">
        <w:rPr>
          <w:b/>
          <w:bCs/>
          <w:color w:val="006666" w:themeColor="accent6"/>
        </w:rPr>
        <w:t>City</w:t>
      </w:r>
      <w:r w:rsidR="61AACD9A" w:rsidRPr="6657A744">
        <w:rPr>
          <w:b/>
          <w:bCs/>
          <w:color w:val="006666" w:themeColor="accent6"/>
        </w:rPr>
        <w:t xml:space="preserve"> of Boulder</w:t>
      </w:r>
      <w:bookmarkEnd w:id="9"/>
      <w:bookmarkEnd w:id="10"/>
      <w:r w:rsidR="689FA42B" w:rsidRPr="6657A744">
        <w:rPr>
          <w:b/>
          <w:bCs/>
          <w:color w:val="006666" w:themeColor="accent6"/>
        </w:rPr>
        <w:t xml:space="preserve"> </w:t>
      </w:r>
    </w:p>
    <w:p w14:paraId="0C68BBEB" w14:textId="77777777" w:rsidR="00DD688D" w:rsidRPr="003F4309" w:rsidRDefault="00A440BC" w:rsidP="00DD688D">
      <w:r>
        <w:t xml:space="preserve">To comply with the Building Performance </w:t>
      </w:r>
      <w:proofErr w:type="gramStart"/>
      <w:r>
        <w:t>Ordinance</w:t>
      </w:r>
      <w:proofErr w:type="gramEnd"/>
      <w:r>
        <w:t xml:space="preserve"> you must manually</w:t>
      </w:r>
      <w:r w:rsidR="00DD688D" w:rsidRPr="003F4309">
        <w:t xml:space="preserve"> submit your </w:t>
      </w:r>
      <w:r>
        <w:t xml:space="preserve">energy </w:t>
      </w:r>
      <w:r w:rsidR="00DD688D" w:rsidRPr="003F4309">
        <w:t xml:space="preserve">report </w:t>
      </w:r>
      <w:r w:rsidR="00136667" w:rsidRPr="003F4309">
        <w:t xml:space="preserve">to the city </w:t>
      </w:r>
      <w:r w:rsidR="00DD688D" w:rsidRPr="003F4309">
        <w:t>through Portfolio Manager</w:t>
      </w:r>
      <w:r w:rsidR="001A5947">
        <w:t xml:space="preserve"> every year</w:t>
      </w:r>
      <w:r w:rsidR="00DD688D" w:rsidRPr="003F4309">
        <w:t>.</w:t>
      </w:r>
    </w:p>
    <w:p w14:paraId="28FDF07A" w14:textId="77777777" w:rsidR="00AE080C" w:rsidRDefault="001B0B4D" w:rsidP="00113D95">
      <w:pPr>
        <w:pStyle w:val="ListParagraph"/>
        <w:numPr>
          <w:ilvl w:val="0"/>
          <w:numId w:val="7"/>
        </w:numPr>
      </w:pPr>
      <w:r>
        <w:t>Click</w:t>
      </w:r>
      <w:r w:rsidR="00DD688D">
        <w:t xml:space="preserve"> the </w:t>
      </w:r>
      <w:r w:rsidR="00B576E2">
        <w:t>required reporting</w:t>
      </w:r>
      <w:r w:rsidR="00DD688D">
        <w:t xml:space="preserve"> </w:t>
      </w:r>
      <w:r w:rsidR="00B576E2">
        <w:t>link</w:t>
      </w:r>
      <w:r w:rsidR="008A43A4">
        <w:t xml:space="preserve"> on the main </w:t>
      </w:r>
      <w:hyperlink r:id="rId21" w:history="1">
        <w:r w:rsidR="008A43A4" w:rsidRPr="008A43A4">
          <w:rPr>
            <w:rStyle w:val="Hyperlink"/>
          </w:rPr>
          <w:t>webpage</w:t>
        </w:r>
      </w:hyperlink>
      <w:r w:rsidR="008A43A4">
        <w:t xml:space="preserve"> by selecting “Submit Data to City” in the Boulder Building Performance Resources.</w:t>
      </w:r>
    </w:p>
    <w:p w14:paraId="30FF4473" w14:textId="15F8DD87" w:rsidR="008A43A4" w:rsidRDefault="003058F3" w:rsidP="008A43A4">
      <w:pPr>
        <w:ind w:left="360"/>
      </w:pPr>
      <w:r>
        <w:rPr>
          <w:noProof/>
        </w:rPr>
        <mc:AlternateContent>
          <mc:Choice Requires="wps">
            <w:drawing>
              <wp:anchor distT="0" distB="0" distL="114300" distR="114300" simplePos="0" relativeHeight="251708928" behindDoc="0" locked="0" layoutInCell="1" allowOverlap="1" wp14:anchorId="550ACE83" wp14:editId="1F0A83C9">
                <wp:simplePos x="0" y="0"/>
                <wp:positionH relativeFrom="column">
                  <wp:posOffset>5743575</wp:posOffset>
                </wp:positionH>
                <wp:positionV relativeFrom="paragraph">
                  <wp:posOffset>2221865</wp:posOffset>
                </wp:positionV>
                <wp:extent cx="723900" cy="238125"/>
                <wp:effectExtent l="19050" t="114300" r="38100" b="123825"/>
                <wp:wrapNone/>
                <wp:docPr id="48" name="AutoShape 33" descr="Blank hidden imag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47010">
                          <a:off x="0" y="0"/>
                          <a:ext cx="723900" cy="238125"/>
                        </a:xfrm>
                        <a:prstGeom prst="leftArrow">
                          <a:avLst>
                            <a:gd name="adj1" fmla="val 50000"/>
                            <a:gd name="adj2" fmla="val 76000"/>
                          </a:avLst>
                        </a:prstGeom>
                        <a:noFill/>
                        <a:ln w="38100">
                          <a:solidFill>
                            <a:srgbClr val="FF0000"/>
                          </a:solidFill>
                          <a:miter lim="800000"/>
                          <a:headEnd/>
                          <a:tailEnd/>
                        </a:ln>
                        <a:effectLst>
                          <a:outerShdw dist="28398" dir="3806097" algn="ctr" rotWithShape="0">
                            <a:schemeClr val="accent4">
                              <a:lumMod val="50000"/>
                              <a:lumOff val="0"/>
                              <a:alpha val="50000"/>
                            </a:schemeClr>
                          </a:outerShdw>
                        </a:effectLst>
                        <a:extLst>
                          <a:ext uri="{909E8E84-426E-40DD-AFC4-6F175D3DCCD1}">
                            <a14:hiddenFill xmlns:a14="http://schemas.microsoft.com/office/drawing/2010/main">
                              <a:solidFill>
                                <a:schemeClr val="accent4">
                                  <a:lumMod val="100000"/>
                                  <a:lumOff val="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5DB2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33" o:spid="_x0000_s1026" type="#_x0000_t66" alt="Blank hidden image" style="position:absolute;margin-left:452.25pt;margin-top:174.95pt;width:57pt;height:18.75pt;rotation:-1580521fd;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" filled="f" fillcolor="#066 [3207]" strokecolor="red" strokeweight="3pt">
                <v:shadow on="t" color="#003232 [1607]" opacity=".5" offset="1pt"/>
              </v:shape>
            </w:pict>
          </mc:Fallback>
        </mc:AlternateContent>
      </w:r>
    </w:p>
    <w:p w14:paraId="4BF1B83C" w14:textId="77777777" w:rsidR="008A43A4" w:rsidRDefault="001B0B4D" w:rsidP="00113D95">
      <w:pPr>
        <w:pStyle w:val="ListParagraph"/>
        <w:numPr>
          <w:ilvl w:val="0"/>
          <w:numId w:val="7"/>
        </w:numPr>
      </w:pPr>
      <w:r>
        <w:lastRenderedPageBreak/>
        <w:t xml:space="preserve">This link takes you to a new webpage. </w:t>
      </w:r>
      <w:r w:rsidR="00A440BC">
        <w:t>Note – you may be required to sign into Portfolio Manager.</w:t>
      </w:r>
    </w:p>
    <w:p w14:paraId="1335A214" w14:textId="77777777" w:rsidR="00DD688D" w:rsidRDefault="008A43A4" w:rsidP="00113D95">
      <w:pPr>
        <w:pStyle w:val="ListParagraph"/>
        <w:numPr>
          <w:ilvl w:val="0"/>
          <w:numId w:val="7"/>
        </w:numPr>
      </w:pPr>
      <w:r>
        <w:t>Once signed in, the link will</w:t>
      </w:r>
      <w:r w:rsidR="00DD688D">
        <w:t xml:space="preserve"> launch a page titled </w:t>
      </w:r>
      <w:r w:rsidR="00671B6D" w:rsidRPr="00671B6D">
        <w:rPr>
          <w:b/>
        </w:rPr>
        <w:t>Respond to Data Request</w:t>
      </w:r>
      <w:r w:rsidR="00DD688D">
        <w:t>.</w:t>
      </w:r>
    </w:p>
    <w:p w14:paraId="0B97894C" w14:textId="77777777" w:rsidR="008A43A4" w:rsidRDefault="00B576E2" w:rsidP="00113D95">
      <w:pPr>
        <w:pStyle w:val="ListParagraph"/>
        <w:numPr>
          <w:ilvl w:val="0"/>
          <w:numId w:val="7"/>
        </w:numPr>
      </w:pPr>
      <w:r>
        <w:t>A</w:t>
      </w:r>
      <w:r w:rsidR="008A43A4">
        <w:t>t the bottom of the page, you will need to c</w:t>
      </w:r>
      <w:r w:rsidR="00DD688D">
        <w:t>hoose the properties to report using the dro</w:t>
      </w:r>
      <w:r w:rsidR="00671B6D">
        <w:t>p-down menu and click “Generate</w:t>
      </w:r>
      <w:r w:rsidR="00DD688D">
        <w:t xml:space="preserve"> Response Preview.”</w:t>
      </w:r>
      <w:r w:rsidR="00D459CA">
        <w:t xml:space="preserve"> </w:t>
      </w:r>
    </w:p>
    <w:p w14:paraId="4F7AECA5" w14:textId="1372041D" w:rsidR="00B576E2" w:rsidRDefault="00D459CA" w:rsidP="00B576E2">
      <w:pPr>
        <w:pStyle w:val="ListParagraph"/>
        <w:numPr>
          <w:ilvl w:val="0"/>
          <w:numId w:val="7"/>
        </w:numPr>
      </w:pPr>
      <w:r>
        <w:t xml:space="preserve">Upon generating the </w:t>
      </w:r>
      <w:r w:rsidR="00820569">
        <w:t>response,</w:t>
      </w:r>
      <w:r>
        <w:t xml:space="preserve"> you will be taken to the Reporting tab.</w:t>
      </w:r>
    </w:p>
    <w:p w14:paraId="46FB01FC" w14:textId="6E874547" w:rsidR="008A43A4" w:rsidRDefault="00B576E2" w:rsidP="008A43A4">
      <w:pPr>
        <w:pStyle w:val="ListParagraph"/>
        <w:numPr>
          <w:ilvl w:val="1"/>
          <w:numId w:val="7"/>
        </w:numPr>
      </w:pPr>
      <w:r>
        <w:t>You will see the r</w:t>
      </w:r>
      <w:r w:rsidR="001B0B4D">
        <w:t>esponse at the top of the table, highlighted.</w:t>
      </w:r>
    </w:p>
    <w:p w14:paraId="2687F4D8" w14:textId="77777777" w:rsidR="00DD688D" w:rsidRDefault="00E44BC3" w:rsidP="00113D95">
      <w:pPr>
        <w:pStyle w:val="ListParagraph"/>
        <w:numPr>
          <w:ilvl w:val="0"/>
          <w:numId w:val="7"/>
        </w:numPr>
      </w:pPr>
      <w:r>
        <w:t xml:space="preserve">When </w:t>
      </w:r>
      <w:r w:rsidR="008A43A4">
        <w:t>you are ready to submit to the c</w:t>
      </w:r>
      <w:r>
        <w:t xml:space="preserve">ity, in the </w:t>
      </w:r>
      <w:r w:rsidRPr="00521CA3">
        <w:rPr>
          <w:b/>
        </w:rPr>
        <w:t>Action</w:t>
      </w:r>
      <w:r>
        <w:t xml:space="preserve"> column, select from the dropdown “Send Response</w:t>
      </w:r>
      <w:r w:rsidR="008A43A4">
        <w:t>.</w:t>
      </w:r>
      <w:r>
        <w:t>”</w:t>
      </w:r>
    </w:p>
    <w:p w14:paraId="48C8C335" w14:textId="77777777" w:rsidR="00E44BC3" w:rsidRDefault="00E44BC3" w:rsidP="00113D95">
      <w:pPr>
        <w:pStyle w:val="ListParagraph"/>
        <w:numPr>
          <w:ilvl w:val="0"/>
          <w:numId w:val="7"/>
        </w:numPr>
      </w:pPr>
      <w:r>
        <w:t>On the page that appears, you must e</w:t>
      </w:r>
      <w:r w:rsidR="00AE080C">
        <w:t xml:space="preserve">lectronically sign your report by entering your </w:t>
      </w:r>
      <w:r w:rsidR="00D459CA">
        <w:t xml:space="preserve">Portfolio Manager </w:t>
      </w:r>
      <w:r w:rsidR="00AE080C">
        <w:t xml:space="preserve">login information and </w:t>
      </w:r>
      <w:r w:rsidR="00AE080C" w:rsidRPr="00671B6D">
        <w:t xml:space="preserve">clicking </w:t>
      </w:r>
      <w:r w:rsidR="00671B6D" w:rsidRPr="00671B6D">
        <w:t>“</w:t>
      </w:r>
      <w:r w:rsidR="00AE080C" w:rsidRPr="00671B6D">
        <w:t>E-Sign Response</w:t>
      </w:r>
      <w:r w:rsidR="008A43A4">
        <w:t>.</w:t>
      </w:r>
      <w:r w:rsidR="00671B6D" w:rsidRPr="00671B6D">
        <w:t>”</w:t>
      </w:r>
    </w:p>
    <w:p w14:paraId="58F59FB2" w14:textId="0BCB8F69" w:rsidR="008458C7" w:rsidRDefault="008458C7" w:rsidP="00B576E2">
      <w:pPr>
        <w:pStyle w:val="ListParagraph"/>
      </w:pPr>
      <w:r>
        <w:t xml:space="preserve">You have signed successfully when you see a </w:t>
      </w:r>
      <w:r w:rsidR="00671B6D">
        <w:t xml:space="preserve">green </w:t>
      </w:r>
      <w:r w:rsidR="00E44BC3">
        <w:t>alert</w:t>
      </w:r>
      <w:r w:rsidR="00671B6D">
        <w:t xml:space="preserve"> with a checkmark</w:t>
      </w:r>
      <w:r>
        <w:t>.</w:t>
      </w:r>
    </w:p>
    <w:p w14:paraId="61FC4887" w14:textId="77777777" w:rsidR="00E44BC3" w:rsidRDefault="008458C7" w:rsidP="008458C7">
      <w:pPr>
        <w:pStyle w:val="ListParagraph"/>
        <w:numPr>
          <w:ilvl w:val="0"/>
          <w:numId w:val="7"/>
        </w:numPr>
      </w:pPr>
      <w:r>
        <w:t>Click “</w:t>
      </w:r>
      <w:r w:rsidRPr="00671B6D">
        <w:t>Send Data”</w:t>
      </w:r>
      <w:r>
        <w:t xml:space="preserve"> and </w:t>
      </w:r>
      <w:r w:rsidR="00E44BC3">
        <w:t>confirm submission by clicking “Continue.” Your report</w:t>
      </w:r>
      <w:r>
        <w:t xml:space="preserve"> has now been submitted to the c</w:t>
      </w:r>
      <w:r w:rsidR="00E44BC3">
        <w:t>ity!</w:t>
      </w:r>
    </w:p>
    <w:p w14:paraId="26774D38" w14:textId="77777777" w:rsidR="00AE080C" w:rsidRDefault="00AE080C" w:rsidP="00113D95">
      <w:pPr>
        <w:pStyle w:val="ListParagraph"/>
        <w:numPr>
          <w:ilvl w:val="0"/>
          <w:numId w:val="7"/>
        </w:numPr>
      </w:pPr>
      <w:r>
        <w:t>You will receive a confirmation email</w:t>
      </w:r>
      <w:r w:rsidR="00E44BC3">
        <w:t xml:space="preserve"> from the EPA</w:t>
      </w:r>
      <w:r>
        <w:t xml:space="preserve"> informing you that your data has been submitted to the City of </w:t>
      </w:r>
      <w:r w:rsidR="00103A07">
        <w:t>Boulder</w:t>
      </w:r>
      <w:r>
        <w:t>.</w:t>
      </w:r>
    </w:p>
    <w:p w14:paraId="49DA1F95" w14:textId="77777777" w:rsidR="00E44BC3" w:rsidRDefault="00B576E2" w:rsidP="00B576E2">
      <w:pPr>
        <w:pStyle w:val="ListParagraph"/>
        <w:numPr>
          <w:ilvl w:val="0"/>
          <w:numId w:val="7"/>
        </w:numPr>
      </w:pPr>
      <w:r>
        <w:t xml:space="preserve">You will receive an official compliance notification email from the City of Boulder after the city has reviewed the submission.  Your building is not in compliance until you receive that email! </w:t>
      </w:r>
    </w:p>
    <w:p w14:paraId="4FFA607C" w14:textId="77777777" w:rsidR="00605FC0" w:rsidRPr="000B4529" w:rsidRDefault="00605FC0" w:rsidP="00521CA3">
      <w:pPr>
        <w:rPr>
          <w:color w:val="004C4C" w:themeColor="accent2" w:themeShade="BF"/>
        </w:rPr>
      </w:pPr>
    </w:p>
    <w:p w14:paraId="752643D5" w14:textId="4B25848F" w:rsidR="00863D72" w:rsidRDefault="2DE513E9" w:rsidP="007E7E53">
      <w:pPr>
        <w:pStyle w:val="Quote"/>
        <w:jc w:val="center"/>
        <w:rPr>
          <w:rStyle w:val="IntenseEmphasis"/>
          <w:color w:val="006666" w:themeColor="accent6"/>
          <w:sz w:val="28"/>
          <w:szCs w:val="28"/>
          <w:u w:val="single"/>
        </w:rPr>
      </w:pPr>
      <w:r w:rsidRPr="6657A744">
        <w:rPr>
          <w:rStyle w:val="IntenseEmphasis"/>
          <w:color w:val="006666" w:themeColor="accent6"/>
          <w:sz w:val="28"/>
          <w:szCs w:val="28"/>
          <w:u w:val="single"/>
        </w:rPr>
        <w:t>You have now completed the required rating and reporting</w:t>
      </w:r>
      <w:r w:rsidR="0D00DB6D" w:rsidRPr="6657A744">
        <w:rPr>
          <w:rStyle w:val="IntenseEmphasis"/>
          <w:color w:val="006666" w:themeColor="accent6"/>
          <w:sz w:val="28"/>
          <w:szCs w:val="28"/>
          <w:u w:val="single"/>
        </w:rPr>
        <w:t xml:space="preserve"> for this year</w:t>
      </w:r>
    </w:p>
    <w:p w14:paraId="5BDB2B41" w14:textId="39CBB7E6" w:rsidR="00EC52CE" w:rsidRPr="00634ECE" w:rsidRDefault="2DE513E9" w:rsidP="00634ECE">
      <w:pPr>
        <w:pStyle w:val="Quote"/>
        <w:jc w:val="center"/>
        <w:rPr>
          <w:b/>
          <w:bCs/>
          <w:i w:val="0"/>
          <w:iCs w:val="0"/>
          <w:color w:val="006666" w:themeColor="accent6"/>
          <w:sz w:val="28"/>
          <w:szCs w:val="28"/>
          <w:u w:val="single"/>
        </w:rPr>
      </w:pPr>
      <w:r w:rsidRPr="6657A744">
        <w:rPr>
          <w:rStyle w:val="IntenseEmphasis"/>
          <w:color w:val="006666" w:themeColor="accent6"/>
          <w:sz w:val="28"/>
          <w:szCs w:val="28"/>
          <w:u w:val="single"/>
        </w:rPr>
        <w:t>– thank you!</w:t>
      </w:r>
    </w:p>
    <w:p w14:paraId="02174E5C" w14:textId="62617056" w:rsidR="00671B6D" w:rsidRDefault="005D4D90">
      <w:r w:rsidRPr="005D4D90">
        <w:rPr>
          <w:b/>
        </w:rPr>
        <w:t>Errors</w:t>
      </w:r>
      <w:r>
        <w:rPr>
          <w:b/>
        </w:rPr>
        <w:t xml:space="preserve"> or Updates</w:t>
      </w:r>
      <w:r w:rsidRPr="005D4D90">
        <w:rPr>
          <w:b/>
        </w:rPr>
        <w:t>?</w:t>
      </w:r>
      <w:r>
        <w:t xml:space="preserve"> </w:t>
      </w:r>
      <w:r w:rsidR="00315FC7">
        <w:t xml:space="preserve">If, after submitting your data to the </w:t>
      </w:r>
      <w:r w:rsidR="003F4309">
        <w:t>c</w:t>
      </w:r>
      <w:r w:rsidR="00315FC7">
        <w:t xml:space="preserve">ity, you </w:t>
      </w:r>
      <w:r w:rsidR="00BA1F32">
        <w:t>discover</w:t>
      </w:r>
      <w:r w:rsidR="00315FC7">
        <w:t xml:space="preserve"> that any reported </w:t>
      </w:r>
      <w:r w:rsidR="00BC5C9E">
        <w:t>rating</w:t>
      </w:r>
      <w:r w:rsidR="00315FC7">
        <w:t xml:space="preserve"> information is inaccurate</w:t>
      </w:r>
      <w:r w:rsidR="00315697">
        <w:t xml:space="preserve"> or must be updated</w:t>
      </w:r>
      <w:r w:rsidR="00315FC7">
        <w:t xml:space="preserve">, you must make the appropriate changes to the </w:t>
      </w:r>
      <w:r w:rsidR="00D459CA">
        <w:t xml:space="preserve">property in Portfolio Manager, </w:t>
      </w:r>
      <w:r w:rsidR="00315FC7">
        <w:t>generate an updated response</w:t>
      </w:r>
      <w:r w:rsidR="00D459CA">
        <w:t>,</w:t>
      </w:r>
      <w:r w:rsidR="00315FC7">
        <w:t xml:space="preserve"> and re-submit it to the City within 30 days of discovering the inaccuracy. </w:t>
      </w:r>
      <w:r w:rsidR="00315FC7" w:rsidRPr="00314253">
        <w:t xml:space="preserve">See </w:t>
      </w:r>
      <w:r w:rsidR="003B7CF8">
        <w:fldChar w:fldCharType="begin"/>
      </w:r>
      <w:r w:rsidR="003B7CF8">
        <w:instrText xml:space="preserve"> REF _Ref430938085 \h  \* MERGEFORMAT </w:instrText>
      </w:r>
      <w:r w:rsidR="003B7CF8">
        <w:fldChar w:fldCharType="separate"/>
      </w:r>
      <w:r w:rsidR="008A7975" w:rsidRPr="008A7975">
        <w:rPr>
          <w:u w:val="single"/>
        </w:rPr>
        <w:t>Updating or Correcting the Portfolio Manager Report</w:t>
      </w:r>
      <w:r w:rsidR="003B7CF8">
        <w:fldChar w:fldCharType="end"/>
      </w:r>
      <w:r w:rsidR="00C12B67" w:rsidRPr="00314253">
        <w:t xml:space="preserve"> </w:t>
      </w:r>
      <w:r w:rsidR="00315FC7" w:rsidRPr="00314253">
        <w:t xml:space="preserve"> for </w:t>
      </w:r>
      <w:r w:rsidR="00315FC7">
        <w:t>instructions on updating your data.</w:t>
      </w:r>
    </w:p>
    <w:p w14:paraId="5325C88F" w14:textId="77777777" w:rsidR="00436CB3" w:rsidRDefault="005D4D90" w:rsidP="00436CB3">
      <w:pPr>
        <w:spacing w:after="0" w:line="276" w:lineRule="auto"/>
      </w:pPr>
      <w:r w:rsidRPr="005D4D90">
        <w:rPr>
          <w:b/>
        </w:rPr>
        <w:t>Additional Guidance?</w:t>
      </w:r>
      <w:r>
        <w:t xml:space="preserve"> </w:t>
      </w:r>
      <w:r w:rsidRPr="005D4D90">
        <w:t>For</w:t>
      </w:r>
      <w:r w:rsidR="007C5826">
        <w:t xml:space="preserve"> </w:t>
      </w:r>
      <w:r w:rsidR="00863D72" w:rsidRPr="00863D72">
        <w:t xml:space="preserve">guidance on </w:t>
      </w:r>
      <w:r w:rsidR="00436CB3">
        <w:t>reporting</w:t>
      </w:r>
      <w:r w:rsidR="00863D72" w:rsidRPr="00863D72">
        <w:t xml:space="preserve"> whole-building energy use through Portfolio Manager, </w:t>
      </w:r>
      <w:r w:rsidR="00436CB3">
        <w:t xml:space="preserve">ENERGY STAR has a variety of resources including the </w:t>
      </w:r>
      <w:hyperlink r:id="rId22" w:history="1">
        <w:r w:rsidR="00436CB3" w:rsidRPr="00436CB3">
          <w:rPr>
            <w:rStyle w:val="Hyperlink"/>
          </w:rPr>
          <w:t>Quick Start Guide</w:t>
        </w:r>
      </w:hyperlink>
      <w:r w:rsidR="00436CB3">
        <w:t xml:space="preserve"> and </w:t>
      </w:r>
      <w:hyperlink r:id="rId23" w:history="1">
        <w:r w:rsidR="00436CB3" w:rsidRPr="00436CB3">
          <w:rPr>
            <w:rStyle w:val="Hyperlink"/>
          </w:rPr>
          <w:t>Help Desk</w:t>
        </w:r>
      </w:hyperlink>
      <w:r w:rsidR="00436CB3">
        <w:t xml:space="preserve">. </w:t>
      </w:r>
    </w:p>
    <w:p w14:paraId="6B8BE513" w14:textId="77777777" w:rsidR="00863D72" w:rsidRPr="00863D72" w:rsidRDefault="00436CB3" w:rsidP="00436CB3">
      <w:pPr>
        <w:spacing w:after="0" w:line="276" w:lineRule="auto"/>
        <w:rPr>
          <w:rFonts w:eastAsia="Times New Roman" w:cstheme="minorHAnsi"/>
          <w:color w:val="000000"/>
        </w:rPr>
      </w:pPr>
      <w:r>
        <w:t xml:space="preserve">You can also contact the </w:t>
      </w:r>
      <w:r w:rsidRPr="009958C7">
        <w:rPr>
          <w:b/>
        </w:rPr>
        <w:t>City of Boulder</w:t>
      </w:r>
      <w:r>
        <w:t xml:space="preserve"> </w:t>
      </w:r>
      <w:r w:rsidR="00863D72" w:rsidRPr="00436CB3">
        <w:rPr>
          <w:b/>
        </w:rPr>
        <w:t>Building Performance Help Desk</w:t>
      </w:r>
      <w:r w:rsidR="00863D72" w:rsidRPr="00863D72">
        <w:t xml:space="preserve"> at: </w:t>
      </w:r>
      <w:r w:rsidR="00863D72" w:rsidRPr="00863D72">
        <w:rPr>
          <w:rFonts w:eastAsia="Times New Roman" w:cstheme="minorHAnsi"/>
          <w:color w:val="000000"/>
        </w:rPr>
        <w:t xml:space="preserve">(844) 536-4528 or </w:t>
      </w:r>
    </w:p>
    <w:p w14:paraId="70DFF38C" w14:textId="77777777" w:rsidR="00436CB3" w:rsidRDefault="00863D72" w:rsidP="00436CB3">
      <w:pPr>
        <w:spacing w:line="276" w:lineRule="auto"/>
      </w:pPr>
      <w:hyperlink r:id="rId24" w:history="1">
        <w:r w:rsidRPr="00863D72">
          <w:rPr>
            <w:rStyle w:val="Hyperlink"/>
            <w:rFonts w:eastAsia="Times New Roman" w:cstheme="minorHAnsi"/>
          </w:rPr>
          <w:t>BPOHelpdesk@bouldercolorado.gov</w:t>
        </w:r>
      </w:hyperlink>
      <w:r w:rsidR="009958C7">
        <w:t>.</w:t>
      </w:r>
      <w:r>
        <w:t xml:space="preserve"> </w:t>
      </w:r>
      <w:r w:rsidR="00F6321E">
        <w:t xml:space="preserve"> </w:t>
      </w:r>
    </w:p>
    <w:p w14:paraId="5A8F468E" w14:textId="77777777" w:rsidR="00315FC7" w:rsidRPr="00494C5C" w:rsidRDefault="00315FC7" w:rsidP="00436CB3">
      <w:pPr>
        <w:spacing w:beforeLines="40" w:before="96" w:afterLines="60" w:after="144" w:line="276" w:lineRule="auto"/>
        <w:rPr>
          <w:rFonts w:asciiTheme="majorHAnsi" w:eastAsiaTheme="majorEastAsia" w:hAnsiTheme="majorHAnsi" w:cstheme="majorBidi"/>
          <w:color w:val="004C4C" w:themeColor="accent1" w:themeShade="BF"/>
          <w:sz w:val="26"/>
          <w:szCs w:val="26"/>
        </w:rPr>
      </w:pPr>
      <w:r>
        <w:br w:type="page"/>
      </w:r>
    </w:p>
    <w:p w14:paraId="4592A9CD" w14:textId="77777777" w:rsidR="000C38C4" w:rsidRPr="00204C93" w:rsidRDefault="2598A78E" w:rsidP="6657A744">
      <w:pPr>
        <w:pStyle w:val="Heading1"/>
        <w:rPr>
          <w:b/>
          <w:bCs/>
          <w:color w:val="FF9933"/>
        </w:rPr>
      </w:pPr>
      <w:bookmarkStart w:id="11" w:name="_Ref430938085"/>
      <w:bookmarkStart w:id="12" w:name="_Toc430955074"/>
      <w:bookmarkStart w:id="13" w:name="_Toc502146992"/>
      <w:r w:rsidRPr="6657A744">
        <w:rPr>
          <w:b/>
          <w:bCs/>
          <w:color w:val="006666" w:themeColor="accent6"/>
        </w:rPr>
        <w:lastRenderedPageBreak/>
        <w:t>Updating or Correcti</w:t>
      </w:r>
      <w:r w:rsidR="50B3EFC8" w:rsidRPr="6657A744">
        <w:rPr>
          <w:b/>
          <w:bCs/>
          <w:color w:val="006666" w:themeColor="accent6"/>
        </w:rPr>
        <w:t>ng the Portfolio Manager Report</w:t>
      </w:r>
      <w:bookmarkEnd w:id="11"/>
      <w:bookmarkEnd w:id="12"/>
      <w:bookmarkEnd w:id="13"/>
    </w:p>
    <w:p w14:paraId="2688ECC0" w14:textId="77777777" w:rsidR="00FE21DF" w:rsidRDefault="000A50C1" w:rsidP="00D17EAF">
      <w:r>
        <w:t>If, aft</w:t>
      </w:r>
      <w:r w:rsidR="003F4309">
        <w:t>er submitting your data to the c</w:t>
      </w:r>
      <w:r>
        <w:t xml:space="preserve">ity, you </w:t>
      </w:r>
      <w:r w:rsidR="00874FB7">
        <w:t xml:space="preserve">discover </w:t>
      </w:r>
      <w:r>
        <w:t xml:space="preserve">that any reported </w:t>
      </w:r>
      <w:r w:rsidR="00BC5C9E">
        <w:t>rating</w:t>
      </w:r>
      <w:r>
        <w:t xml:space="preserve"> information is inaccurate, you must make the appropriate changes to the building’s Portfolio Manager </w:t>
      </w:r>
      <w:r w:rsidR="00103A07">
        <w:t>Profile and</w:t>
      </w:r>
      <w:r>
        <w:t xml:space="preserve"> generate an updated response and re-submit it to the </w:t>
      </w:r>
      <w:proofErr w:type="gramStart"/>
      <w:r>
        <w:t>City</w:t>
      </w:r>
      <w:proofErr w:type="gramEnd"/>
      <w:r>
        <w:t xml:space="preserve"> within 30 days of discovering the inaccuracy. Follow these instructions to re-report updated or corrected information to the </w:t>
      </w:r>
      <w:proofErr w:type="gramStart"/>
      <w:r>
        <w:t>City</w:t>
      </w:r>
      <w:proofErr w:type="gramEnd"/>
      <w:r>
        <w:t xml:space="preserve">. </w:t>
      </w:r>
    </w:p>
    <w:p w14:paraId="6DEF3BF8" w14:textId="77777777" w:rsidR="00CA3658" w:rsidRPr="00113D95" w:rsidRDefault="00315697" w:rsidP="00113D95">
      <w:pPr>
        <w:pStyle w:val="ListParagraph"/>
        <w:numPr>
          <w:ilvl w:val="0"/>
          <w:numId w:val="13"/>
        </w:numPr>
      </w:pPr>
      <w:r>
        <w:t>First, u</w:t>
      </w:r>
      <w:r w:rsidR="00CA3658">
        <w:t xml:space="preserve">pdate or </w:t>
      </w:r>
      <w:r>
        <w:t>correct data</w:t>
      </w:r>
      <w:r w:rsidR="00CA3658">
        <w:t xml:space="preserve"> </w:t>
      </w:r>
      <w:r>
        <w:t xml:space="preserve">by selecting the property in the </w:t>
      </w:r>
      <w:r w:rsidRPr="00113D95">
        <w:t>Properties</w:t>
      </w:r>
      <w:r>
        <w:t xml:space="preserve"> box in the </w:t>
      </w:r>
      <w:proofErr w:type="spellStart"/>
      <w:r w:rsidRPr="00113D95">
        <w:rPr>
          <w:b/>
        </w:rPr>
        <w:t>MyPortfolio</w:t>
      </w:r>
      <w:proofErr w:type="spellEnd"/>
      <w:r w:rsidRPr="00113D95">
        <w:rPr>
          <w:b/>
        </w:rPr>
        <w:t xml:space="preserve"> </w:t>
      </w:r>
      <w:r>
        <w:t xml:space="preserve">tab and selecting from the </w:t>
      </w:r>
      <w:r w:rsidRPr="00113D95">
        <w:rPr>
          <w:b/>
        </w:rPr>
        <w:t>Action</w:t>
      </w:r>
      <w:r>
        <w:t xml:space="preserve"> dropdown “Update Use Details” (If a change occurred in the building you want record of, such as additional square footage was added during a remodel) or “Correct Mistakes” (if you want to replace information reported previously that was incorrect). </w:t>
      </w:r>
    </w:p>
    <w:p w14:paraId="0DDC781B" w14:textId="77777777" w:rsidR="00315697" w:rsidRPr="00113D95" w:rsidRDefault="00315697" w:rsidP="00113D95">
      <w:pPr>
        <w:pStyle w:val="ListParagraph"/>
        <w:numPr>
          <w:ilvl w:val="0"/>
          <w:numId w:val="13"/>
        </w:numPr>
      </w:pPr>
      <w:r>
        <w:t>After you save the changes, you must generate an updated report.</w:t>
      </w:r>
    </w:p>
    <w:p w14:paraId="5DF86392" w14:textId="77777777" w:rsidR="00CA3658" w:rsidRPr="00113D95" w:rsidRDefault="00315697" w:rsidP="00113D95">
      <w:pPr>
        <w:pStyle w:val="ListParagraph"/>
        <w:numPr>
          <w:ilvl w:val="0"/>
          <w:numId w:val="13"/>
        </w:numPr>
      </w:pPr>
      <w:r>
        <w:t xml:space="preserve">Under the </w:t>
      </w:r>
      <w:r w:rsidRPr="00113D95">
        <w:rPr>
          <w:b/>
        </w:rPr>
        <w:t>Reporting</w:t>
      </w:r>
      <w:r>
        <w:t xml:space="preserve"> tab, </w:t>
      </w:r>
      <w:r w:rsidRPr="000B4529">
        <w:t xml:space="preserve">find the </w:t>
      </w:r>
      <w:r w:rsidR="000B4529">
        <w:t>Boulder Reporting Template</w:t>
      </w:r>
      <w:r w:rsidRPr="000B4529">
        <w:t xml:space="preserve"> and from</w:t>
      </w:r>
      <w:r>
        <w:t xml:space="preserve"> the </w:t>
      </w:r>
      <w:r w:rsidRPr="00113D95">
        <w:rPr>
          <w:b/>
        </w:rPr>
        <w:t>Action</w:t>
      </w:r>
      <w:r>
        <w:t xml:space="preserve"> dropdown, </w:t>
      </w:r>
      <w:r w:rsidR="00CA3658">
        <w:t xml:space="preserve">select </w:t>
      </w:r>
      <w:r>
        <w:t xml:space="preserve">“Generate an updated response”. </w:t>
      </w:r>
      <w:r w:rsidR="00CA3658">
        <w:t xml:space="preserve"> </w:t>
      </w:r>
    </w:p>
    <w:p w14:paraId="1D10C7FC" w14:textId="77777777" w:rsidR="00315697" w:rsidRPr="00113D95" w:rsidRDefault="00CA3658" w:rsidP="00113D95">
      <w:pPr>
        <w:pStyle w:val="ListParagraph"/>
        <w:numPr>
          <w:ilvl w:val="1"/>
          <w:numId w:val="13"/>
        </w:numPr>
      </w:pPr>
      <w:r>
        <w:t>If Portfolio Manager generates an alert that some energy metrics could not be calculated, review and resolve any issue before submitting your response. If you make any changes you will need to generate an updated response.</w:t>
      </w:r>
    </w:p>
    <w:p w14:paraId="27D4D043" w14:textId="77777777" w:rsidR="00315697" w:rsidRPr="00315697" w:rsidRDefault="00315697" w:rsidP="00113D95">
      <w:pPr>
        <w:pStyle w:val="ListParagraph"/>
        <w:numPr>
          <w:ilvl w:val="0"/>
          <w:numId w:val="13"/>
        </w:numPr>
      </w:pPr>
      <w:r>
        <w:t>Once</w:t>
      </w:r>
      <w:r w:rsidR="00CA3658">
        <w:t xml:space="preserve"> </w:t>
      </w:r>
      <w:r w:rsidR="007A0D04">
        <w:t>generated,</w:t>
      </w:r>
      <w:r w:rsidR="00CA3658">
        <w:t xml:space="preserve"> </w:t>
      </w:r>
      <w:r>
        <w:t xml:space="preserve">select “Send Response” in the </w:t>
      </w:r>
      <w:r w:rsidRPr="00113D95">
        <w:rPr>
          <w:b/>
        </w:rPr>
        <w:t>Action</w:t>
      </w:r>
      <w:r>
        <w:t xml:space="preserve"> drop down menu</w:t>
      </w:r>
      <w:r w:rsidR="00113D95">
        <w:t xml:space="preserve"> for the </w:t>
      </w:r>
      <w:r w:rsidR="000B4529">
        <w:t>Boulder Reporting Template</w:t>
      </w:r>
      <w:r w:rsidR="000B4529" w:rsidRPr="000B4529">
        <w:t xml:space="preserve"> </w:t>
      </w:r>
      <w:r>
        <w:t xml:space="preserve">under </w:t>
      </w:r>
      <w:r w:rsidRPr="00113D95">
        <w:rPr>
          <w:b/>
        </w:rPr>
        <w:t>Template &amp; Reports</w:t>
      </w:r>
      <w:r w:rsidRPr="00315697">
        <w:t>.</w:t>
      </w:r>
    </w:p>
    <w:p w14:paraId="2A465948" w14:textId="77777777" w:rsidR="00315697" w:rsidRPr="00671B6D" w:rsidRDefault="00315697" w:rsidP="00113D95">
      <w:pPr>
        <w:pStyle w:val="ListParagraph"/>
        <w:numPr>
          <w:ilvl w:val="0"/>
          <w:numId w:val="13"/>
        </w:numPr>
      </w:pPr>
      <w:r>
        <w:t xml:space="preserve">On the page that appears, you must electronically sign your report by entering your </w:t>
      </w:r>
      <w:r w:rsidR="00D459CA">
        <w:t xml:space="preserve">Portfolio Manager </w:t>
      </w:r>
      <w:r>
        <w:t xml:space="preserve">login information and </w:t>
      </w:r>
      <w:r w:rsidRPr="00671B6D">
        <w:t xml:space="preserve">clicking “E-Sign Response”. </w:t>
      </w:r>
    </w:p>
    <w:p w14:paraId="67DBE8CF" w14:textId="77777777" w:rsidR="00315697" w:rsidRDefault="00315697" w:rsidP="00113D95">
      <w:pPr>
        <w:pStyle w:val="ListParagraph"/>
        <w:numPr>
          <w:ilvl w:val="0"/>
          <w:numId w:val="13"/>
        </w:numPr>
      </w:pPr>
      <w:r>
        <w:t xml:space="preserve">Once your information is confirmed by a green </w:t>
      </w:r>
      <w:r w:rsidRPr="00113D95">
        <w:rPr>
          <w:b/>
        </w:rPr>
        <w:t>Signed</w:t>
      </w:r>
      <w:r>
        <w:t xml:space="preserve"> alert with a checkmark, click “</w:t>
      </w:r>
      <w:r w:rsidRPr="00671B6D">
        <w:t>Send Data”</w:t>
      </w:r>
      <w:r>
        <w:t xml:space="preserve"> and confirm submission by clicking “Continue.” Your </w:t>
      </w:r>
      <w:r w:rsidR="00113D95">
        <w:t xml:space="preserve">updated </w:t>
      </w:r>
      <w:r>
        <w:t>report has</w:t>
      </w:r>
      <w:r w:rsidR="00113D95">
        <w:t xml:space="preserve"> now been submitted to the </w:t>
      </w:r>
      <w:proofErr w:type="gramStart"/>
      <w:r w:rsidR="00113D95">
        <w:t>City</w:t>
      </w:r>
      <w:proofErr w:type="gramEnd"/>
      <w:r w:rsidR="00113D95">
        <w:t xml:space="preserve"> and will automatically replace the data previously sent.</w:t>
      </w:r>
    </w:p>
    <w:p w14:paraId="7A7F3C3D" w14:textId="77777777" w:rsidR="00315697" w:rsidRDefault="00315697" w:rsidP="00113D95">
      <w:pPr>
        <w:pStyle w:val="ListParagraph"/>
        <w:numPr>
          <w:ilvl w:val="0"/>
          <w:numId w:val="13"/>
        </w:numPr>
      </w:pPr>
      <w:r>
        <w:t>You will receive a confirmation email from the EPA informing you that your data has been submitted to the City of Boulder.</w:t>
      </w:r>
    </w:p>
    <w:p w14:paraId="7E36F7B4" w14:textId="77777777" w:rsidR="00113D95" w:rsidRDefault="00113D95" w:rsidP="00113D95">
      <w:pPr>
        <w:pStyle w:val="ListParagraph"/>
        <w:numPr>
          <w:ilvl w:val="1"/>
          <w:numId w:val="13"/>
        </w:numPr>
      </w:pPr>
      <w:r>
        <w:t>Save this email as proof of submission.</w:t>
      </w:r>
    </w:p>
    <w:p w14:paraId="1DC9A4DC" w14:textId="77777777" w:rsidR="00C610B5" w:rsidRDefault="00C610B5">
      <w:pPr>
        <w:rPr>
          <w:rFonts w:asciiTheme="majorHAnsi" w:eastAsiaTheme="majorEastAsia" w:hAnsiTheme="majorHAnsi" w:cstheme="majorBidi"/>
          <w:color w:val="004C4C" w:themeColor="accent1" w:themeShade="BF"/>
          <w:sz w:val="26"/>
          <w:szCs w:val="26"/>
        </w:rPr>
      </w:pPr>
      <w:r>
        <w:rPr>
          <w:rFonts w:asciiTheme="majorHAnsi" w:eastAsiaTheme="majorEastAsia" w:hAnsiTheme="majorHAnsi" w:cstheme="majorBidi"/>
          <w:color w:val="004C4C" w:themeColor="accent1" w:themeShade="BF"/>
          <w:sz w:val="26"/>
          <w:szCs w:val="26"/>
        </w:rPr>
        <w:br w:type="page"/>
      </w:r>
    </w:p>
    <w:p w14:paraId="5BC6581F" w14:textId="77777777" w:rsidR="00CA3658" w:rsidRDefault="5A0344A6" w:rsidP="6657A744">
      <w:pPr>
        <w:pStyle w:val="Heading1"/>
        <w:rPr>
          <w:b/>
          <w:bCs/>
          <w:color w:val="FF9933"/>
        </w:rPr>
      </w:pPr>
      <w:bookmarkStart w:id="14" w:name="_Ref442964659"/>
      <w:bookmarkStart w:id="15" w:name="_Toc502146993"/>
      <w:r w:rsidRPr="6657A744">
        <w:rPr>
          <w:b/>
          <w:bCs/>
          <w:color w:val="006666" w:themeColor="accent6"/>
        </w:rPr>
        <w:lastRenderedPageBreak/>
        <w:t xml:space="preserve">How to </w:t>
      </w:r>
      <w:r w:rsidR="2B5F32E7" w:rsidRPr="6657A744">
        <w:rPr>
          <w:b/>
          <w:bCs/>
          <w:color w:val="006666" w:themeColor="accent6"/>
        </w:rPr>
        <w:t>Manually Collect and Enter</w:t>
      </w:r>
      <w:r w:rsidRPr="6657A744">
        <w:rPr>
          <w:b/>
          <w:bCs/>
          <w:color w:val="006666" w:themeColor="accent6"/>
        </w:rPr>
        <w:t xml:space="preserve"> your Data</w:t>
      </w:r>
      <w:bookmarkEnd w:id="14"/>
      <w:bookmarkEnd w:id="15"/>
    </w:p>
    <w:p w14:paraId="632F930C" w14:textId="77777777" w:rsidR="001C7E7B" w:rsidRPr="001C7E7B" w:rsidRDefault="001C7E7B" w:rsidP="001C7E7B">
      <w:r w:rsidRPr="001C7E7B">
        <w:t xml:space="preserve">If you are unable to use Xcel Energy’s energy benchmarking automatic upload service, the process for manually collecting the energy data for the building depends on who is responsible for the energy bills of the building.  </w:t>
      </w:r>
    </w:p>
    <w:p w14:paraId="332921E1" w14:textId="77777777" w:rsidR="001C7E7B" w:rsidRPr="001C7E7B" w:rsidRDefault="001C7E7B" w:rsidP="001C7E7B">
      <w:pPr>
        <w:numPr>
          <w:ilvl w:val="0"/>
          <w:numId w:val="17"/>
        </w:numPr>
      </w:pPr>
      <w:r w:rsidRPr="001C7E7B">
        <w:rPr>
          <w:u w:val="single"/>
        </w:rPr>
        <w:t>If the owner pays the utility bills for the whole building</w:t>
      </w:r>
      <w:r w:rsidRPr="001C7E7B">
        <w:t xml:space="preserve">, you can collect this consumption data through your service provider or from past bills. </w:t>
      </w:r>
    </w:p>
    <w:p w14:paraId="4C058B81" w14:textId="77777777" w:rsidR="001C7E7B" w:rsidRDefault="001C7E7B" w:rsidP="001C7E7B">
      <w:pPr>
        <w:numPr>
          <w:ilvl w:val="0"/>
          <w:numId w:val="17"/>
        </w:numPr>
      </w:pPr>
      <w:r w:rsidRPr="001C7E7B">
        <w:rPr>
          <w:u w:val="single"/>
        </w:rPr>
        <w:t>If your tenants are responsible for paying their utility bills</w:t>
      </w:r>
      <w:r w:rsidRPr="001C7E7B">
        <w:t>, you must work with them to collect the consumption data from bills or individual utility accounts.</w:t>
      </w:r>
      <w:r>
        <w:t xml:space="preserve"> This would </w:t>
      </w:r>
      <w:r w:rsidR="00B75C47">
        <w:t>require</w:t>
      </w:r>
      <w:r>
        <w:t xml:space="preserve"> tenant consent. (See Data Privacy Rules in the box below).</w:t>
      </w:r>
      <w:r w:rsidRPr="001C7E7B">
        <w:t xml:space="preserve"> </w:t>
      </w:r>
      <w:proofErr w:type="gramStart"/>
      <w:r w:rsidRPr="001C7E7B">
        <w:t>Or,</w:t>
      </w:r>
      <w:proofErr w:type="gramEnd"/>
      <w:r w:rsidRPr="001C7E7B">
        <w:t xml:space="preserve"> you can try to request whole building consumption data from the service provider of that fuel by connecting with an account representative. This would often be provided in a spreadsheet format. </w:t>
      </w:r>
    </w:p>
    <w:tbl>
      <w:tblPr>
        <w:tblStyle w:val="TableGrid"/>
        <w:tblW w:w="0" w:type="auto"/>
        <w:tblBorders>
          <w:top w:val="single" w:sz="8" w:space="0" w:color="006666" w:themeColor="accent3"/>
          <w:left w:val="single" w:sz="8" w:space="0" w:color="006666" w:themeColor="accent3"/>
          <w:bottom w:val="single" w:sz="8" w:space="0" w:color="006666" w:themeColor="accent3"/>
          <w:right w:val="single" w:sz="8" w:space="0" w:color="006666" w:themeColor="accent3"/>
          <w:insid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w:noHBand="0" w:noVBand="1"/>
      </w:tblPr>
      <w:tblGrid>
        <w:gridCol w:w="9340"/>
      </w:tblGrid>
      <w:tr w:rsidR="001C7E7B" w:rsidRPr="00EC6D3C" w14:paraId="3B99CD8F" w14:textId="77777777" w:rsidTr="00B75C47">
        <w:tc>
          <w:tcPr>
            <w:tcW w:w="9576" w:type="dxa"/>
            <w:shd w:val="clear" w:color="auto" w:fill="F2F2F2" w:themeFill="background1" w:themeFillShade="F2"/>
          </w:tcPr>
          <w:p w14:paraId="0BC5BABE" w14:textId="77777777" w:rsidR="001C7E7B" w:rsidRPr="00EC6D3C" w:rsidRDefault="001C7E7B" w:rsidP="00B75C47">
            <w:pPr>
              <w:rPr>
                <w:i/>
              </w:rPr>
            </w:pPr>
            <w:r w:rsidRPr="00EC6D3C">
              <w:rPr>
                <w:b/>
                <w:i/>
              </w:rPr>
              <w:t>Data Privacy Rules</w:t>
            </w:r>
            <w:r w:rsidRPr="00EC6D3C">
              <w:rPr>
                <w:i/>
              </w:rPr>
              <w:t xml:space="preserve">: Due to lobbying efforts by the City of Boulder and other concerned municipalities, The Public Utility Commission (PUC) has made it easier for building owners to access </w:t>
            </w:r>
            <w:proofErr w:type="gramStart"/>
            <w:r w:rsidRPr="00EC6D3C">
              <w:rPr>
                <w:i/>
              </w:rPr>
              <w:t>whole</w:t>
            </w:r>
            <w:proofErr w:type="gramEnd"/>
            <w:r w:rsidRPr="00EC6D3C">
              <w:rPr>
                <w:i/>
              </w:rPr>
              <w:t xml:space="preserve"> building energy use data required for rating and reporting by implementing a new data aggregation standard. If there are 4 or more meters in the building, and no one tenant consumes more than 50% of the total energy use, the building owner, or their </w:t>
            </w:r>
            <w:proofErr w:type="gramStart"/>
            <w:r w:rsidRPr="00EC6D3C">
              <w:rPr>
                <w:i/>
              </w:rPr>
              <w:t>designee</w:t>
            </w:r>
            <w:proofErr w:type="gramEnd"/>
            <w:r w:rsidRPr="00EC6D3C">
              <w:rPr>
                <w:i/>
              </w:rPr>
              <w:t xml:space="preserve">, can receive whole building energy use data from Xcel Energy, even if the tenants are sub-metered. In the case this rule is not met, tenants must sign </w:t>
            </w:r>
            <w:hyperlink r:id="rId25" w:history="1">
              <w:r w:rsidRPr="00EC52CE">
                <w:rPr>
                  <w:rStyle w:val="Hyperlink"/>
                  <w:i/>
                </w:rPr>
                <w:t>consent forms</w:t>
              </w:r>
            </w:hyperlink>
            <w:r w:rsidRPr="00EC6D3C">
              <w:rPr>
                <w:i/>
              </w:rPr>
              <w:t xml:space="preserve"> to allow Xcel Energy to release the data to the building owner. </w:t>
            </w:r>
            <w:r>
              <w:rPr>
                <w:i/>
              </w:rPr>
              <w:t xml:space="preserve">For other regulated utilities, the consent form is available from the PUC or that utility. </w:t>
            </w:r>
            <w:r w:rsidRPr="00EC6D3C">
              <w:rPr>
                <w:i/>
              </w:rPr>
              <w:t xml:space="preserve"> </w:t>
            </w:r>
          </w:p>
        </w:tc>
      </w:tr>
    </w:tbl>
    <w:p w14:paraId="166FCC2E" w14:textId="77777777" w:rsidR="001C7E7B" w:rsidRPr="00136667" w:rsidRDefault="001C7E7B" w:rsidP="001C7E7B">
      <w:pPr>
        <w:pStyle w:val="ListParagraph"/>
        <w:spacing w:before="60" w:after="60"/>
      </w:pPr>
    </w:p>
    <w:tbl>
      <w:tblPr>
        <w:tblStyle w:val="TableGrid"/>
        <w:tblW w:w="0" w:type="auto"/>
        <w:tblBorders>
          <w:top w:val="single" w:sz="8" w:space="0" w:color="006666" w:themeColor="accent3"/>
          <w:left w:val="single" w:sz="8" w:space="0" w:color="006666" w:themeColor="accent3"/>
          <w:bottom w:val="single" w:sz="8" w:space="0" w:color="006666" w:themeColor="accent3"/>
          <w:right w:val="single" w:sz="8" w:space="0" w:color="006666" w:themeColor="accent3"/>
          <w:insideH w:val="single" w:sz="8" w:space="0" w:color="006666" w:themeColor="accent3"/>
          <w:insideV w:val="single" w:sz="8" w:space="0" w:color="006666" w:themeColor="accent3"/>
        </w:tblBorders>
        <w:shd w:val="clear" w:color="auto" w:fill="F2F2F2" w:themeFill="background1" w:themeFillShade="F2"/>
        <w:tblLook w:val="04A0" w:firstRow="1" w:lastRow="0" w:firstColumn="1" w:lastColumn="0" w:noHBand="0" w:noVBand="1"/>
      </w:tblPr>
      <w:tblGrid>
        <w:gridCol w:w="9340"/>
      </w:tblGrid>
      <w:tr w:rsidR="001C7E7B" w:rsidRPr="00EC6D3C" w14:paraId="45E1D9B3" w14:textId="77777777" w:rsidTr="00B75C47">
        <w:tc>
          <w:tcPr>
            <w:tcW w:w="9576" w:type="dxa"/>
            <w:shd w:val="clear" w:color="auto" w:fill="F2F2F2" w:themeFill="background1" w:themeFillShade="F2"/>
          </w:tcPr>
          <w:p w14:paraId="59F8C365" w14:textId="77777777" w:rsidR="001C7E7B" w:rsidRDefault="001C7E7B" w:rsidP="00B75C47">
            <w:pPr>
              <w:spacing w:before="60"/>
              <w:rPr>
                <w:i/>
              </w:rPr>
            </w:pPr>
            <w:r w:rsidRPr="00EC6D3C">
              <w:rPr>
                <w:b/>
                <w:i/>
              </w:rPr>
              <w:t>Estimated Energy Use</w:t>
            </w:r>
            <w:r w:rsidRPr="00EC6D3C">
              <w:rPr>
                <w:i/>
              </w:rPr>
              <w:t xml:space="preserve">. </w:t>
            </w:r>
            <w:r w:rsidRPr="003F4309">
              <w:rPr>
                <w:i/>
              </w:rPr>
              <w:t xml:space="preserve">A building owner should be able to obtain </w:t>
            </w:r>
            <w:proofErr w:type="gramStart"/>
            <w:r w:rsidRPr="003F4309">
              <w:rPr>
                <w:i/>
              </w:rPr>
              <w:t>whole</w:t>
            </w:r>
            <w:proofErr w:type="gramEnd"/>
            <w:r w:rsidRPr="003F4309">
              <w:rPr>
                <w:i/>
              </w:rPr>
              <w:t xml:space="preserve"> building data from their tenants and/or their utility. If a tenant is not cooperating with this process, please inform them that they must respond to a data request within 30 days or they will be in violation of the city </w:t>
            </w:r>
            <w:proofErr w:type="gramStart"/>
            <w:r w:rsidRPr="003F4309">
              <w:rPr>
                <w:i/>
              </w:rPr>
              <w:t>ordinance (</w:t>
            </w:r>
            <w:r>
              <w:rPr>
                <w:i/>
              </w:rPr>
              <w:t>Ordinance</w:t>
            </w:r>
            <w:proofErr w:type="gramEnd"/>
            <w:r>
              <w:rPr>
                <w:i/>
              </w:rPr>
              <w:t xml:space="preserve"> No. 807, Section 10-7.7-6(b)</w:t>
            </w:r>
            <w:r w:rsidRPr="003F4309">
              <w:rPr>
                <w:i/>
              </w:rPr>
              <w:t>). If a tenant still fails to comply, contact the Program Administrator.</w:t>
            </w:r>
          </w:p>
          <w:p w14:paraId="376CECDB" w14:textId="77777777" w:rsidR="001C7E7B" w:rsidRPr="003F4309" w:rsidRDefault="001C7E7B" w:rsidP="00B75C47">
            <w:pPr>
              <w:rPr>
                <w:i/>
              </w:rPr>
            </w:pPr>
          </w:p>
          <w:p w14:paraId="68C76E5D" w14:textId="77777777" w:rsidR="001C7E7B" w:rsidRPr="00EC6D3C" w:rsidRDefault="001C7E7B" w:rsidP="00CB5C6C">
            <w:pPr>
              <w:spacing w:after="60"/>
              <w:rPr>
                <w:i/>
              </w:rPr>
            </w:pPr>
            <w:r w:rsidRPr="003F4309">
              <w:rPr>
                <w:i/>
              </w:rPr>
              <w:t xml:space="preserve">If whole-building data is not available from your utility and you have been unable to receive data from your tenants, or any other suitable channel, the city may instruct you to estimate energy use. </w:t>
            </w:r>
            <w:r w:rsidR="00CB5C6C">
              <w:rPr>
                <w:i/>
              </w:rPr>
              <w:t>Contact the Program Administrator in this case.</w:t>
            </w:r>
          </w:p>
        </w:tc>
      </w:tr>
    </w:tbl>
    <w:p w14:paraId="046981CC" w14:textId="77777777" w:rsidR="001C7E7B" w:rsidRDefault="001C7E7B" w:rsidP="001C7E7B"/>
    <w:p w14:paraId="5EA51373" w14:textId="77777777" w:rsidR="001C7E7B" w:rsidRPr="00F27423" w:rsidRDefault="001C7E7B" w:rsidP="001C7E7B">
      <w:r>
        <w:t>Once you have collected the energy data</w:t>
      </w:r>
      <w:r w:rsidR="00C12B67">
        <w:t xml:space="preserve"> for the building for the reporting year</w:t>
      </w:r>
      <w:r>
        <w:t xml:space="preserve">, you must </w:t>
      </w:r>
      <w:r w:rsidR="00B75C47">
        <w:t xml:space="preserve">create the meters and </w:t>
      </w:r>
      <w:r>
        <w:t>manu</w:t>
      </w:r>
      <w:r w:rsidRPr="00F27423">
        <w:t>ally enter th</w:t>
      </w:r>
      <w:r w:rsidR="00754AD0">
        <w:t>at data into Portfolio Manager.</w:t>
      </w:r>
    </w:p>
    <w:p w14:paraId="7DE80049" w14:textId="77777777" w:rsidR="00B75C47" w:rsidRDefault="00754AD0" w:rsidP="007A0D04">
      <w:pPr>
        <w:pStyle w:val="ListParagraph"/>
        <w:numPr>
          <w:ilvl w:val="0"/>
          <w:numId w:val="31"/>
        </w:numPr>
      </w:pPr>
      <w:r>
        <w:t xml:space="preserve">In your property in Portfolio Manager, select the </w:t>
      </w:r>
      <w:r w:rsidRPr="007A0D04">
        <w:t>Meters</w:t>
      </w:r>
      <w:r>
        <w:t xml:space="preserve"> sub-tab and</w:t>
      </w:r>
      <w:r w:rsidR="001C7E7B">
        <w:t xml:space="preserve"> click “Add Another Meter</w:t>
      </w:r>
      <w:r w:rsidR="00B75C47">
        <w:t>.</w:t>
      </w:r>
      <w:r w:rsidR="001C7E7B">
        <w:t>”</w:t>
      </w:r>
      <w:r w:rsidR="00B75C47" w:rsidRPr="00B75C47">
        <w:t xml:space="preserve"> </w:t>
      </w:r>
    </w:p>
    <w:p w14:paraId="21D6CFA6" w14:textId="77777777" w:rsidR="001C7E7B" w:rsidRDefault="001C7E7B" w:rsidP="00B75C47">
      <w:pPr>
        <w:pStyle w:val="ListParagraph"/>
        <w:numPr>
          <w:ilvl w:val="0"/>
          <w:numId w:val="31"/>
        </w:numPr>
      </w:pPr>
      <w:r>
        <w:t xml:space="preserve">Check the applicable fuel type boxes for all meters, provide any additional requested </w:t>
      </w:r>
      <w:r w:rsidR="00B75C47">
        <w:t>i</w:t>
      </w:r>
      <w:r>
        <w:t>nformation (such as whether the electricity is purchased from the grid or generated onsite and the number of meters), and then click “Get Started.</w:t>
      </w:r>
      <w:r w:rsidRPr="002C1557">
        <w:t>”</w:t>
      </w:r>
    </w:p>
    <w:p w14:paraId="48E8D47E" w14:textId="77777777" w:rsidR="001C7E7B" w:rsidRDefault="001C7E7B" w:rsidP="001C7E7B">
      <w:pPr>
        <w:pStyle w:val="ListParagraph"/>
        <w:numPr>
          <w:ilvl w:val="1"/>
          <w:numId w:val="31"/>
        </w:numPr>
      </w:pPr>
      <w:r>
        <w:t>If you are collecting aggregated whole-building data from your fuel provider, you can enter just one meter for each fuel you collected whole-building data for.</w:t>
      </w:r>
    </w:p>
    <w:p w14:paraId="272CC0AA" w14:textId="77777777" w:rsidR="001C7E7B" w:rsidRDefault="001C7E7B" w:rsidP="00B75C47">
      <w:pPr>
        <w:pStyle w:val="ListParagraph"/>
        <w:numPr>
          <w:ilvl w:val="0"/>
          <w:numId w:val="31"/>
        </w:numPr>
      </w:pPr>
      <w:r w:rsidRPr="00F85974">
        <w:t xml:space="preserve">Click anywhere in the first meter to </w:t>
      </w:r>
      <w:r>
        <w:t>enter the meter information</w:t>
      </w:r>
      <w:r w:rsidRPr="00F85974">
        <w:t>.</w:t>
      </w:r>
    </w:p>
    <w:p w14:paraId="7AE7F9E5" w14:textId="77777777" w:rsidR="001C7E7B" w:rsidRDefault="001C7E7B" w:rsidP="001C7E7B">
      <w:pPr>
        <w:pStyle w:val="ListParagraph"/>
        <w:numPr>
          <w:ilvl w:val="1"/>
          <w:numId w:val="31"/>
        </w:numPr>
      </w:pPr>
      <w:proofErr w:type="gramStart"/>
      <w:r w:rsidRPr="002C1557">
        <w:rPr>
          <w:b/>
        </w:rPr>
        <w:t>Date</w:t>
      </w:r>
      <w:proofErr w:type="gramEnd"/>
      <w:r w:rsidRPr="002C1557">
        <w:rPr>
          <w:b/>
        </w:rPr>
        <w:t xml:space="preserve"> Meter became Active</w:t>
      </w:r>
      <w:r>
        <w:t xml:space="preserve"> will</w:t>
      </w:r>
      <w:r w:rsidRPr="00F85974">
        <w:t xml:space="preserve"> be the </w:t>
      </w:r>
      <w:r>
        <w:t>date of the first meter bill for the building</w:t>
      </w:r>
      <w:r w:rsidRPr="00F85974">
        <w:t>.</w:t>
      </w:r>
    </w:p>
    <w:p w14:paraId="306AB29D" w14:textId="77777777" w:rsidR="001C7E7B" w:rsidRDefault="001C7E7B" w:rsidP="001C7E7B">
      <w:pPr>
        <w:pStyle w:val="ListParagraph"/>
        <w:numPr>
          <w:ilvl w:val="1"/>
          <w:numId w:val="31"/>
        </w:numPr>
      </w:pPr>
      <w:r w:rsidRPr="00F85974">
        <w:lastRenderedPageBreak/>
        <w:t>Carefully check the units</w:t>
      </w:r>
      <w:r>
        <w:t xml:space="preserve"> of the data you are providing and select the correct unit from the drop down.</w:t>
      </w:r>
    </w:p>
    <w:p w14:paraId="08530495" w14:textId="77777777" w:rsidR="001C7E7B" w:rsidRPr="006B49E8" w:rsidRDefault="001C7E7B" w:rsidP="001C7E7B">
      <w:pPr>
        <w:pStyle w:val="ListParagraph"/>
        <w:numPr>
          <w:ilvl w:val="0"/>
          <w:numId w:val="31"/>
        </w:numPr>
      </w:pPr>
      <w:r>
        <w:t xml:space="preserve">Select </w:t>
      </w:r>
      <w:r w:rsidRPr="002C1557">
        <w:t>“Create Meters</w:t>
      </w:r>
      <w:r>
        <w:t>.</w:t>
      </w:r>
      <w:r w:rsidRPr="002C1557">
        <w:t>”</w:t>
      </w:r>
      <w:r>
        <w:t xml:space="preserve"> Now you can enter the calendar year consumption data (</w:t>
      </w:r>
      <w:r w:rsidRPr="006C49B9">
        <w:rPr>
          <w:i/>
        </w:rPr>
        <w:t xml:space="preserve">Note: Entering costs </w:t>
      </w:r>
      <w:proofErr w:type="gramStart"/>
      <w:r w:rsidRPr="006C49B9">
        <w:rPr>
          <w:i/>
        </w:rPr>
        <w:t>is</w:t>
      </w:r>
      <w:proofErr w:type="gramEnd"/>
      <w:r w:rsidRPr="006C49B9">
        <w:rPr>
          <w:i/>
        </w:rPr>
        <w:t xml:space="preserve"> not required</w:t>
      </w:r>
      <w:r w:rsidRPr="006B49E8">
        <w:t xml:space="preserve">).  </w:t>
      </w:r>
    </w:p>
    <w:p w14:paraId="73E38FE8" w14:textId="77777777" w:rsidR="001C7E7B" w:rsidRDefault="00D30417" w:rsidP="00D30417">
      <w:pPr>
        <w:pStyle w:val="ListParagraph"/>
        <w:numPr>
          <w:ilvl w:val="0"/>
          <w:numId w:val="31"/>
        </w:numPr>
      </w:pPr>
      <w:r>
        <w:t>To enter data, s</w:t>
      </w:r>
      <w:r w:rsidR="001C7E7B">
        <w:t>elect “Click to add an entry.”</w:t>
      </w:r>
    </w:p>
    <w:p w14:paraId="41E12105" w14:textId="56DDE40A" w:rsidR="001C7E7B" w:rsidRPr="00F85974" w:rsidRDefault="001C7E7B" w:rsidP="001C7E7B">
      <w:pPr>
        <w:pStyle w:val="ListParagraph"/>
        <w:numPr>
          <w:ilvl w:val="1"/>
          <w:numId w:val="31"/>
        </w:numPr>
      </w:pPr>
      <w:r>
        <w:t>Keep in mind your end date for one billing cycle should not overlap with the start date for the next cycle. (i.e. If your January entry ends on 1/31/2015, your February entry should begin on 2/1/2015).</w:t>
      </w:r>
    </w:p>
    <w:p w14:paraId="74BC8485" w14:textId="77777777" w:rsidR="001C7E7B" w:rsidRDefault="001C7E7B" w:rsidP="001C7E7B">
      <w:r w:rsidRPr="009C2083">
        <w:t xml:space="preserve">Once you have entered or uploaded the </w:t>
      </w:r>
      <w:r>
        <w:t xml:space="preserve">property’s complete </w:t>
      </w:r>
      <w:r w:rsidRPr="009C2083">
        <w:t>usage data for the year</w:t>
      </w:r>
      <w:r w:rsidR="00D30417">
        <w:t xml:space="preserve"> (Jan 1-Dec 31)</w:t>
      </w:r>
      <w:r w:rsidRPr="009C2083">
        <w:t xml:space="preserve">, you will be asked which meters should be included in the property’s total consumption. </w:t>
      </w:r>
    </w:p>
    <w:p w14:paraId="7F34DBFF" w14:textId="77777777" w:rsidR="001C7E7B" w:rsidRDefault="001C7E7B" w:rsidP="001C7E7B">
      <w:pPr>
        <w:pStyle w:val="ListParagraph"/>
        <w:numPr>
          <w:ilvl w:val="0"/>
          <w:numId w:val="31"/>
        </w:numPr>
      </w:pPr>
      <w:r>
        <w:t>Check the boxes for each meter for the property and select the option “these meters account for the total energy/water</w:t>
      </w:r>
      <w:r w:rsidR="00D30417">
        <w:t xml:space="preserve"> consumption for this property.”</w:t>
      </w:r>
    </w:p>
    <w:p w14:paraId="29E8C53E" w14:textId="77777777" w:rsidR="008612A4" w:rsidRPr="00D30417" w:rsidRDefault="00D30417" w:rsidP="008113B6">
      <w:pPr>
        <w:pStyle w:val="ListParagraph"/>
        <w:numPr>
          <w:ilvl w:val="0"/>
          <w:numId w:val="31"/>
        </w:numPr>
      </w:pPr>
      <w:r>
        <w:t xml:space="preserve">Then click “Apply Selections.” </w:t>
      </w:r>
      <w:r w:rsidR="001C7E7B">
        <w:t>You will now see your property dashboard has updated with the usage data.</w:t>
      </w:r>
      <w:bookmarkStart w:id="16" w:name="_Ref430939536"/>
      <w:bookmarkStart w:id="17" w:name="_Toc430955075"/>
      <w:r w:rsidR="008612A4" w:rsidRPr="00D30417">
        <w:br w:type="page"/>
      </w:r>
    </w:p>
    <w:p w14:paraId="61E39BE3" w14:textId="77777777" w:rsidR="00A2604B" w:rsidRPr="00204C93" w:rsidRDefault="2DE513E9" w:rsidP="6657A744">
      <w:pPr>
        <w:pStyle w:val="Heading1"/>
        <w:rPr>
          <w:b/>
          <w:bCs/>
          <w:color w:val="006666" w:themeColor="accent6"/>
        </w:rPr>
      </w:pPr>
      <w:bookmarkStart w:id="18" w:name="_Toc502146994"/>
      <w:r w:rsidRPr="6657A744">
        <w:rPr>
          <w:b/>
          <w:bCs/>
          <w:color w:val="006666" w:themeColor="accent6"/>
        </w:rPr>
        <w:lastRenderedPageBreak/>
        <w:t>Frequently Asked Questions</w:t>
      </w:r>
      <w:bookmarkEnd w:id="16"/>
      <w:bookmarkEnd w:id="17"/>
      <w:bookmarkEnd w:id="18"/>
    </w:p>
    <w:p w14:paraId="73E02E6D" w14:textId="77777777" w:rsidR="00315FC7" w:rsidRPr="00204C93" w:rsidRDefault="0CF84D07" w:rsidP="6657A744">
      <w:pPr>
        <w:pStyle w:val="Heading2"/>
        <w:numPr>
          <w:ilvl w:val="0"/>
          <w:numId w:val="19"/>
        </w:numPr>
        <w:rPr>
          <w:color w:val="006666" w:themeColor="accent6"/>
        </w:rPr>
      </w:pPr>
      <w:bookmarkStart w:id="19" w:name="_Toc430955076"/>
      <w:r w:rsidRPr="6657A744">
        <w:rPr>
          <w:color w:val="006666" w:themeColor="accent6"/>
        </w:rPr>
        <w:t xml:space="preserve">Which </w:t>
      </w:r>
      <w:proofErr w:type="gramStart"/>
      <w:r w:rsidRPr="6657A744">
        <w:rPr>
          <w:color w:val="006666" w:themeColor="accent6"/>
        </w:rPr>
        <w:t>property uses</w:t>
      </w:r>
      <w:proofErr w:type="gramEnd"/>
      <w:r w:rsidRPr="6657A744">
        <w:rPr>
          <w:color w:val="006666" w:themeColor="accent6"/>
        </w:rPr>
        <w:t xml:space="preserve"> should I select to represent my building?</w:t>
      </w:r>
      <w:bookmarkEnd w:id="19"/>
      <w:r w:rsidRPr="6657A744">
        <w:rPr>
          <w:color w:val="006666" w:themeColor="accent6"/>
        </w:rPr>
        <w:t xml:space="preserve"> </w:t>
      </w:r>
    </w:p>
    <w:p w14:paraId="7A61F911" w14:textId="77777777" w:rsidR="00315FC7" w:rsidRDefault="0CF84D07" w:rsidP="6657A744">
      <w:pPr>
        <w:rPr>
          <w:color w:val="006666" w:themeColor="accent6"/>
        </w:rPr>
      </w:pPr>
      <w:r>
        <w:t xml:space="preserve">Portfolio Manager has approximately 80 different property use categories. You should accurately represent all </w:t>
      </w:r>
      <w:proofErr w:type="gramStart"/>
      <w:r>
        <w:t>uses</w:t>
      </w:r>
      <w:proofErr w:type="gramEnd"/>
      <w:r>
        <w:t xml:space="preserve"> that are found within your building. A list of definitions is available at: </w:t>
      </w:r>
      <w:hyperlink r:id="rId26">
        <w:r w:rsidRPr="6657A744">
          <w:rPr>
            <w:rStyle w:val="Hyperlink"/>
          </w:rPr>
          <w:t>www.energystar.gov/buildings/sites/default/uploads/tools/PropertyUseDetailsandDefinition.pdf</w:t>
        </w:r>
      </w:hyperlink>
    </w:p>
    <w:p w14:paraId="1B9CE98E" w14:textId="77777777" w:rsidR="00D629C5" w:rsidRPr="00204C93" w:rsidRDefault="266C95B9" w:rsidP="6657A744">
      <w:pPr>
        <w:pStyle w:val="Heading2"/>
        <w:numPr>
          <w:ilvl w:val="0"/>
          <w:numId w:val="19"/>
        </w:numPr>
        <w:rPr>
          <w:color w:val="006666" w:themeColor="accent6"/>
        </w:rPr>
      </w:pPr>
      <w:bookmarkStart w:id="20" w:name="_Toc430955080"/>
      <w:bookmarkStart w:id="21" w:name="_Ref432664916"/>
      <w:bookmarkStart w:id="22" w:name="_Toc430955077"/>
      <w:r w:rsidRPr="6657A744">
        <w:rPr>
          <w:color w:val="006666" w:themeColor="accent6"/>
        </w:rPr>
        <w:t>How do I report standalone parking garages?</w:t>
      </w:r>
      <w:bookmarkEnd w:id="20"/>
      <w:r w:rsidRPr="6657A744">
        <w:rPr>
          <w:color w:val="006666" w:themeColor="accent6"/>
        </w:rPr>
        <w:t xml:space="preserve"> </w:t>
      </w:r>
      <w:bookmarkEnd w:id="21"/>
    </w:p>
    <w:bookmarkEnd w:id="22"/>
    <w:p w14:paraId="6DB8A11C" w14:textId="77777777" w:rsidR="00D629C5" w:rsidRDefault="00D629C5" w:rsidP="00D629C5">
      <w:r>
        <w:t>If you are reporting a standalone parking garage, EPA recommends that you select the “Other” building type when creating the building. Do not check off “My building’s energy use includes parking areas.” Instead, just enter the total area of the garage (i.e., including parking) as the area of the building. This will prevent any error messages from coming up as you continue.</w:t>
      </w:r>
    </w:p>
    <w:p w14:paraId="5F0995AC" w14:textId="77777777" w:rsidR="00307934" w:rsidRPr="00103A07" w:rsidRDefault="266C95B9" w:rsidP="6657A744">
      <w:pPr>
        <w:spacing w:before="100" w:beforeAutospacing="1" w:after="100" w:afterAutospacing="1" w:line="240" w:lineRule="auto"/>
        <w:rPr>
          <w:color w:val="006666" w:themeColor="accent6"/>
        </w:rPr>
      </w:pPr>
      <w:r>
        <w:t xml:space="preserve">The ENERGY STAR score provides an assessment of the building, not its parking area. If it is not possible to sub-meter your parking area, then </w:t>
      </w:r>
      <w:proofErr w:type="gramStart"/>
      <w:r>
        <w:t>Portfolio</w:t>
      </w:r>
      <w:proofErr w:type="gramEnd"/>
      <w:r>
        <w:t xml:space="preserve"> Manager will estimate the amount of energy parking uses and subtract that out before calculating your metrics.</w:t>
      </w:r>
      <w:r w:rsidR="31A41303">
        <w:t xml:space="preserve"> </w:t>
      </w:r>
      <w:r w:rsidR="15762F2C">
        <w:t xml:space="preserve">Learn more in </w:t>
      </w:r>
      <w:r>
        <w:t>the</w:t>
      </w:r>
      <w:r w:rsidR="15762F2C">
        <w:t xml:space="preserve"> </w:t>
      </w:r>
      <w:hyperlink r:id="rId27">
        <w:r w:rsidR="15762F2C" w:rsidRPr="6657A744">
          <w:rPr>
            <w:rStyle w:val="Hyperlink"/>
          </w:rPr>
          <w:t>technical reference for parking</w:t>
        </w:r>
      </w:hyperlink>
      <w:r w:rsidR="31A41303">
        <w:t>.</w:t>
      </w:r>
    </w:p>
    <w:p w14:paraId="0DBFD3E9" w14:textId="77777777" w:rsidR="00326F42" w:rsidRPr="00204C93" w:rsidRDefault="266C95B9" w:rsidP="6657A744">
      <w:pPr>
        <w:pStyle w:val="Heading2"/>
        <w:numPr>
          <w:ilvl w:val="0"/>
          <w:numId w:val="19"/>
        </w:numPr>
        <w:rPr>
          <w:color w:val="006666" w:themeColor="accent6"/>
        </w:rPr>
      </w:pPr>
      <w:bookmarkStart w:id="23" w:name="_Toc430955079"/>
      <w:r w:rsidRPr="6657A744">
        <w:rPr>
          <w:color w:val="006666" w:themeColor="accent6"/>
        </w:rPr>
        <w:t>How is exterior site lighting reported</w:t>
      </w:r>
      <w:r w:rsidR="1D139ED0" w:rsidRPr="6657A744">
        <w:rPr>
          <w:color w:val="006666" w:themeColor="accent6"/>
        </w:rPr>
        <w:t xml:space="preserve"> (</w:t>
      </w:r>
      <w:r w:rsidRPr="6657A744">
        <w:rPr>
          <w:color w:val="006666" w:themeColor="accent6"/>
        </w:rPr>
        <w:t>n</w:t>
      </w:r>
      <w:r w:rsidR="6B00F525" w:rsidRPr="6657A744">
        <w:rPr>
          <w:color w:val="006666" w:themeColor="accent6"/>
        </w:rPr>
        <w:t xml:space="preserve">ot </w:t>
      </w:r>
      <w:r w:rsidRPr="6657A744">
        <w:rPr>
          <w:color w:val="006666" w:themeColor="accent6"/>
        </w:rPr>
        <w:t>p</w:t>
      </w:r>
      <w:r w:rsidR="6B00F525" w:rsidRPr="6657A744">
        <w:rPr>
          <w:color w:val="006666" w:themeColor="accent6"/>
        </w:rPr>
        <w:t>arking</w:t>
      </w:r>
      <w:bookmarkEnd w:id="23"/>
      <w:r w:rsidR="1D139ED0" w:rsidRPr="6657A744">
        <w:rPr>
          <w:color w:val="006666" w:themeColor="accent6"/>
        </w:rPr>
        <w:t>)</w:t>
      </w:r>
      <w:r w:rsidRPr="6657A744">
        <w:rPr>
          <w:color w:val="006666" w:themeColor="accent6"/>
        </w:rPr>
        <w:t>?</w:t>
      </w:r>
    </w:p>
    <w:p w14:paraId="13313EC1" w14:textId="77777777" w:rsidR="00307934" w:rsidRPr="003852AC" w:rsidRDefault="00307934" w:rsidP="00326F42">
      <w:r w:rsidRPr="00103A07">
        <w:t xml:space="preserve">If site lighting (landscape, signage, safety lighting, </w:t>
      </w:r>
      <w:proofErr w:type="spellStart"/>
      <w:r w:rsidRPr="00103A07">
        <w:t>etc</w:t>
      </w:r>
      <w:proofErr w:type="spellEnd"/>
      <w:r w:rsidRPr="00103A07">
        <w:t xml:space="preserve">) is on a </w:t>
      </w:r>
      <w:r w:rsidRPr="003852AC">
        <w:t xml:space="preserve">different meter, the energy use from these areas should be included.  Although you do not include these outdoor areas when calculating the Gross Floor Area (GFA) of a building in </w:t>
      </w:r>
      <w:r w:rsidR="00D629C5">
        <w:t>Portfolio Manager</w:t>
      </w:r>
      <w:r w:rsidRPr="003852AC">
        <w:t xml:space="preserve">, you should include the energy use associated with these areas. The </w:t>
      </w:r>
      <w:r w:rsidR="00D629C5">
        <w:t>Portfolio Manager</w:t>
      </w:r>
      <w:r w:rsidR="00D629C5" w:rsidRPr="003852AC">
        <w:t xml:space="preserve"> </w:t>
      </w:r>
      <w:r w:rsidRPr="003852AC">
        <w:t>algorithms assume buildings</w:t>
      </w:r>
      <w:r w:rsidR="00D629C5">
        <w:t xml:space="preserve"> of your type</w:t>
      </w:r>
      <w:r w:rsidRPr="003852AC">
        <w:t xml:space="preserve"> are expected to have outdoor usage, too. The GFA refers specifically to interior space. But the energy </w:t>
      </w:r>
      <w:proofErr w:type="gramStart"/>
      <w:r w:rsidRPr="003852AC">
        <w:t>use evaluated</w:t>
      </w:r>
      <w:proofErr w:type="gramEnd"/>
      <w:r w:rsidRPr="003852AC">
        <w:t xml:space="preserve"> in our algorithms should be all </w:t>
      </w:r>
      <w:proofErr w:type="gramStart"/>
      <w:r w:rsidRPr="003852AC">
        <w:t>energy</w:t>
      </w:r>
      <w:proofErr w:type="gramEnd"/>
      <w:r w:rsidRPr="003852AC">
        <w:t xml:space="preserve"> required to operate your building, which includes the energy used both inside and out.</w:t>
      </w:r>
    </w:p>
    <w:p w14:paraId="634132ED" w14:textId="77777777" w:rsidR="00307934" w:rsidRPr="00103A07" w:rsidRDefault="266C95B9" w:rsidP="6657A744">
      <w:pPr>
        <w:pStyle w:val="NormalWeb"/>
        <w:ind w:left="360"/>
        <w:rPr>
          <w:color w:val="006666" w:themeColor="accent6"/>
        </w:rPr>
      </w:pPr>
      <w:r w:rsidRPr="6657A744">
        <w:rPr>
          <w:rFonts w:asciiTheme="majorHAnsi" w:eastAsiaTheme="majorEastAsia" w:hAnsiTheme="majorHAnsi" w:cstheme="majorBidi"/>
          <w:color w:val="006666" w:themeColor="accent6"/>
          <w:sz w:val="26"/>
          <w:szCs w:val="26"/>
        </w:rPr>
        <w:t>3a.</w:t>
      </w:r>
      <w:r w:rsidR="00D629C5">
        <w:tab/>
      </w:r>
      <w:r w:rsidR="15762F2C" w:rsidRPr="6657A744">
        <w:rPr>
          <w:rFonts w:asciiTheme="majorHAnsi" w:eastAsiaTheme="majorEastAsia" w:hAnsiTheme="majorHAnsi" w:cstheme="majorBidi"/>
          <w:color w:val="006666" w:themeColor="accent6"/>
          <w:sz w:val="26"/>
          <w:szCs w:val="26"/>
        </w:rPr>
        <w:t>If it’s not separately metered, is there a way for folks to input how much 24/7 site lighting they have, and normalize for operation hours?</w:t>
      </w:r>
      <w:r w:rsidR="6B00F525" w:rsidRPr="6657A744">
        <w:rPr>
          <w:rStyle w:val="Heading3Char"/>
        </w:rPr>
        <w:t> </w:t>
      </w:r>
      <w:r w:rsidR="6B00F525" w:rsidRPr="6657A744">
        <w:rPr>
          <w:rFonts w:asciiTheme="minorHAnsi" w:hAnsiTheme="minorHAnsi" w:cstheme="minorBidi"/>
          <w:sz w:val="22"/>
          <w:szCs w:val="22"/>
        </w:rPr>
        <w:t>No.</w:t>
      </w:r>
      <w:r w:rsidR="15762F2C" w:rsidRPr="6657A744">
        <w:rPr>
          <w:rFonts w:asciiTheme="minorHAnsi" w:hAnsiTheme="minorHAnsi" w:cstheme="minorBidi"/>
          <w:sz w:val="22"/>
          <w:szCs w:val="22"/>
        </w:rPr>
        <w:t xml:space="preserve"> </w:t>
      </w:r>
      <w:r w:rsidR="14F4C7B0" w:rsidRPr="6657A744">
        <w:rPr>
          <w:rFonts w:asciiTheme="minorHAnsi" w:hAnsiTheme="minorHAnsi" w:cstheme="minorBidi"/>
          <w:sz w:val="22"/>
          <w:szCs w:val="22"/>
        </w:rPr>
        <w:t>Specific hours of operation for the site lighting aren’t</w:t>
      </w:r>
      <w:r w:rsidR="15762F2C" w:rsidRPr="6657A744">
        <w:rPr>
          <w:rFonts w:asciiTheme="minorHAnsi" w:hAnsiTheme="minorHAnsi" w:cstheme="minorBidi"/>
          <w:sz w:val="22"/>
          <w:szCs w:val="22"/>
        </w:rPr>
        <w:t xml:space="preserve"> an available input in Portfolio Manager.</w:t>
      </w:r>
      <w:r w:rsidR="15762F2C">
        <w:t xml:space="preserve">  </w:t>
      </w:r>
    </w:p>
    <w:p w14:paraId="574B8C82" w14:textId="77777777" w:rsidR="009E2563" w:rsidRDefault="1E8E2453" w:rsidP="6657A744">
      <w:pPr>
        <w:pStyle w:val="Heading2"/>
        <w:numPr>
          <w:ilvl w:val="0"/>
          <w:numId w:val="19"/>
        </w:numPr>
        <w:rPr>
          <w:color w:val="006666" w:themeColor="accent6"/>
        </w:rPr>
      </w:pPr>
      <w:bookmarkStart w:id="24" w:name="_Toc430955081"/>
      <w:r w:rsidRPr="6657A744">
        <w:rPr>
          <w:color w:val="006666" w:themeColor="accent6"/>
        </w:rPr>
        <w:t>I do not purchase my natural gas from Xcel</w:t>
      </w:r>
      <w:r w:rsidR="53786729" w:rsidRPr="6657A744">
        <w:rPr>
          <w:color w:val="006666" w:themeColor="accent6"/>
        </w:rPr>
        <w:t xml:space="preserve"> Energy</w:t>
      </w:r>
      <w:r w:rsidRPr="6657A744">
        <w:rPr>
          <w:color w:val="006666" w:themeColor="accent6"/>
        </w:rPr>
        <w:t>. How do I get my natural gas consumption?</w:t>
      </w:r>
    </w:p>
    <w:p w14:paraId="085A2BF9" w14:textId="77777777" w:rsidR="009E2563" w:rsidRPr="00412C6C" w:rsidRDefault="1E8E2453" w:rsidP="6657A744">
      <w:pPr>
        <w:rPr>
          <w:color w:val="006666" w:themeColor="accent6"/>
        </w:rPr>
      </w:pPr>
      <w:r>
        <w:t xml:space="preserve">You will need to collect your natural gas bills and manually enter them into Portfolio Manager.  </w:t>
      </w:r>
      <w:proofErr w:type="gramStart"/>
      <w:r>
        <w:t>Or,</w:t>
      </w:r>
      <w:proofErr w:type="gramEnd"/>
      <w:r>
        <w:t xml:space="preserve"> contact your natural gas supplier to determine the best method for collecting your monthly consumption for the calendar year. </w:t>
      </w:r>
    </w:p>
    <w:p w14:paraId="0655B3A5" w14:textId="77777777" w:rsidR="00D86C99" w:rsidRPr="00204C93" w:rsidRDefault="417261CD" w:rsidP="6657A744">
      <w:pPr>
        <w:pStyle w:val="Heading2"/>
        <w:numPr>
          <w:ilvl w:val="0"/>
          <w:numId w:val="19"/>
        </w:numPr>
        <w:rPr>
          <w:color w:val="006666" w:themeColor="accent6"/>
        </w:rPr>
      </w:pPr>
      <w:r w:rsidRPr="6657A744">
        <w:rPr>
          <w:color w:val="006666" w:themeColor="accent6"/>
        </w:rPr>
        <w:t xml:space="preserve">What if </w:t>
      </w:r>
      <w:r w:rsidR="1D139ED0" w:rsidRPr="6657A744">
        <w:rPr>
          <w:color w:val="006666" w:themeColor="accent6"/>
        </w:rPr>
        <w:t xml:space="preserve">I can’t obtain </w:t>
      </w:r>
      <w:proofErr w:type="gramStart"/>
      <w:r w:rsidR="1D139ED0" w:rsidRPr="6657A744">
        <w:rPr>
          <w:color w:val="006666" w:themeColor="accent6"/>
        </w:rPr>
        <w:t>whole</w:t>
      </w:r>
      <w:proofErr w:type="gramEnd"/>
      <w:r w:rsidR="1D139ED0" w:rsidRPr="6657A744">
        <w:rPr>
          <w:color w:val="006666" w:themeColor="accent6"/>
        </w:rPr>
        <w:t xml:space="preserve"> building data</w:t>
      </w:r>
      <w:r w:rsidRPr="6657A744">
        <w:rPr>
          <w:color w:val="006666" w:themeColor="accent6"/>
        </w:rPr>
        <w:t xml:space="preserve"> from my utility?</w:t>
      </w:r>
      <w:bookmarkEnd w:id="24"/>
      <w:r w:rsidRPr="6657A744">
        <w:rPr>
          <w:color w:val="006666" w:themeColor="accent6"/>
        </w:rPr>
        <w:t xml:space="preserve"> </w:t>
      </w:r>
    </w:p>
    <w:p w14:paraId="20D97FA9" w14:textId="77777777" w:rsidR="00BC0998" w:rsidRDefault="00FE03F3" w:rsidP="00D86C99">
      <w:r w:rsidRPr="00517CD5">
        <w:t xml:space="preserve">A building owner should be able to obtain </w:t>
      </w:r>
      <w:proofErr w:type="gramStart"/>
      <w:r w:rsidRPr="00517CD5">
        <w:t>whole</w:t>
      </w:r>
      <w:proofErr w:type="gramEnd"/>
      <w:r w:rsidRPr="00517CD5">
        <w:t xml:space="preserve"> building data from their tenants and</w:t>
      </w:r>
      <w:r w:rsidR="00517CD5" w:rsidRPr="00517CD5">
        <w:t>/or</w:t>
      </w:r>
      <w:r w:rsidRPr="00517CD5">
        <w:t xml:space="preserve"> their utility. If a tenant is not cooperating with this process, please inform them that they must respond to a data request within 30 days or they will be in violation of the city ordinance (</w:t>
      </w:r>
      <w:r w:rsidR="00925905">
        <w:rPr>
          <w:i/>
        </w:rPr>
        <w:t>Ordinance No. 807</w:t>
      </w:r>
      <w:r w:rsidR="009861F4">
        <w:rPr>
          <w:i/>
        </w:rPr>
        <w:t>1</w:t>
      </w:r>
      <w:r w:rsidR="00925905">
        <w:rPr>
          <w:i/>
        </w:rPr>
        <w:t>, Section 10-7.7-6(</w:t>
      </w:r>
      <w:proofErr w:type="gramStart"/>
      <w:r w:rsidR="00925905">
        <w:rPr>
          <w:i/>
        </w:rPr>
        <w:t>b)</w:t>
      </w:r>
      <w:r w:rsidR="00925905" w:rsidRPr="003F4309">
        <w:rPr>
          <w:i/>
        </w:rPr>
        <w:t>)</w:t>
      </w:r>
      <w:proofErr w:type="gramEnd"/>
      <w:r w:rsidRPr="00517CD5">
        <w:t xml:space="preserve">). If a tenant still fails to </w:t>
      </w:r>
      <w:r w:rsidR="00517CD5">
        <w:t xml:space="preserve">comply, contact </w:t>
      </w:r>
      <w:r w:rsidR="003F4309">
        <w:t>the Program Administrator.</w:t>
      </w:r>
    </w:p>
    <w:p w14:paraId="53032B25" w14:textId="77777777" w:rsidR="00517CD5" w:rsidRDefault="00D86C99" w:rsidP="00D86C99">
      <w:r>
        <w:t>If whole-building data is</w:t>
      </w:r>
      <w:r w:rsidR="00517CD5">
        <w:t xml:space="preserve"> not </w:t>
      </w:r>
      <w:r w:rsidR="00517CD5" w:rsidRPr="00517CD5">
        <w:t>available from</w:t>
      </w:r>
      <w:r w:rsidR="00517CD5">
        <w:t xml:space="preserve"> your</w:t>
      </w:r>
      <w:r w:rsidR="00517CD5" w:rsidRPr="00517CD5">
        <w:t xml:space="preserve"> utility and you have </w:t>
      </w:r>
      <w:r w:rsidR="00517CD5">
        <w:t>been unable to receive</w:t>
      </w:r>
      <w:r w:rsidR="00517CD5" w:rsidRPr="00517CD5">
        <w:t xml:space="preserve"> data from your tenants, or any other suitable channel, </w:t>
      </w:r>
      <w:r w:rsidR="003F4309">
        <w:t xml:space="preserve">the city </w:t>
      </w:r>
      <w:r w:rsidR="003F4309" w:rsidRPr="00314253">
        <w:t>may instruct you to</w:t>
      </w:r>
      <w:r w:rsidR="00517CD5" w:rsidRPr="00314253">
        <w:t xml:space="preserve"> estimate energy use</w:t>
      </w:r>
      <w:r w:rsidR="00CB5C6C">
        <w:t>. Contact the Program Administrator</w:t>
      </w:r>
      <w:r w:rsidR="003F4309" w:rsidRPr="00314253">
        <w:t xml:space="preserve"> in this case</w:t>
      </w:r>
      <w:r w:rsidR="00517CD5" w:rsidRPr="00517CD5">
        <w:t>.</w:t>
      </w:r>
    </w:p>
    <w:p w14:paraId="3B9AFF7C" w14:textId="77777777" w:rsidR="00D86C99" w:rsidRPr="00204C93" w:rsidRDefault="417261CD" w:rsidP="6657A744">
      <w:pPr>
        <w:pStyle w:val="Heading2"/>
        <w:numPr>
          <w:ilvl w:val="0"/>
          <w:numId w:val="19"/>
        </w:numPr>
        <w:rPr>
          <w:color w:val="006666" w:themeColor="accent6"/>
        </w:rPr>
      </w:pPr>
      <w:bookmarkStart w:id="25" w:name="_Toc430955082"/>
      <w:r w:rsidRPr="6657A744">
        <w:rPr>
          <w:color w:val="006666" w:themeColor="accent6"/>
        </w:rPr>
        <w:lastRenderedPageBreak/>
        <w:t xml:space="preserve">How do I determine the gross floor area for a building or for </w:t>
      </w:r>
      <w:proofErr w:type="gramStart"/>
      <w:r w:rsidRPr="6657A744">
        <w:rPr>
          <w:color w:val="006666" w:themeColor="accent6"/>
        </w:rPr>
        <w:t>a property</w:t>
      </w:r>
      <w:proofErr w:type="gramEnd"/>
      <w:r w:rsidRPr="6657A744">
        <w:rPr>
          <w:color w:val="006666" w:themeColor="accent6"/>
        </w:rPr>
        <w:t xml:space="preserve"> use within the building?</w:t>
      </w:r>
      <w:bookmarkEnd w:id="25"/>
      <w:r w:rsidRPr="6657A744">
        <w:rPr>
          <w:color w:val="006666" w:themeColor="accent6"/>
        </w:rPr>
        <w:t xml:space="preserve"> </w:t>
      </w:r>
    </w:p>
    <w:p w14:paraId="4448181B" w14:textId="77777777" w:rsidR="00D86C99" w:rsidRDefault="00D86C99" w:rsidP="00D86C99">
      <w:r>
        <w:t xml:space="preserve">Many building owners will have information on gross floor area from leasing, sale, or other transactional documents. Other buildings will have plans that can provide dimensions for the building and/or individual property uses.  </w:t>
      </w:r>
      <w:r w:rsidR="00C64CFE">
        <w:t>Boulder County’s tax assessor records</w:t>
      </w:r>
      <w:r>
        <w:t xml:space="preserve"> may also have records of square</w:t>
      </w:r>
      <w:r w:rsidR="002270F0">
        <w:t xml:space="preserve"> footage in its </w:t>
      </w:r>
      <w:hyperlink r:id="rId28" w:history="1">
        <w:r w:rsidR="002270F0" w:rsidRPr="002270F0">
          <w:rPr>
            <w:rStyle w:val="Hyperlink"/>
          </w:rPr>
          <w:t>permit database</w:t>
        </w:r>
      </w:hyperlink>
      <w:r w:rsidR="00504C35">
        <w:t>, however those records are often organized by parcel or building section, while rating and reporting happens at the building level</w:t>
      </w:r>
      <w:r w:rsidR="002270F0">
        <w:t xml:space="preserve">. </w:t>
      </w:r>
      <w:r>
        <w:t xml:space="preserve"> In conjunction, the gross floor area of common spaces and commercial condos can be estimated from building plans or measured; the </w:t>
      </w:r>
      <w:proofErr w:type="gramStart"/>
      <w:r>
        <w:t>City</w:t>
      </w:r>
      <w:proofErr w:type="gramEnd"/>
      <w:r>
        <w:t xml:space="preserve"> may also offer additional guidance, as needed, on measuring or estimating floor space. </w:t>
      </w:r>
    </w:p>
    <w:p w14:paraId="1CD19868" w14:textId="77777777" w:rsidR="00282C0B" w:rsidRDefault="417261CD" w:rsidP="6657A744">
      <w:pPr>
        <w:rPr>
          <w:color w:val="006666" w:themeColor="accent6"/>
        </w:rPr>
      </w:pPr>
      <w:r>
        <w:t>The calculation of gross floor area is a one-time step, necessary only in the first year of reporting. Any estimation of floor area must be noted in “Property Notes."</w:t>
      </w:r>
      <w:r w:rsidR="5D501684">
        <w:t xml:space="preserve"> </w:t>
      </w:r>
      <w:r w:rsidR="7BC3222F">
        <w:t xml:space="preserve">If the building square footage changes due to a physical change in the building such as a </w:t>
      </w:r>
      <w:r w:rsidR="31A41303">
        <w:t xml:space="preserve">remodel, in Portfolio Manager go to </w:t>
      </w:r>
      <w:r w:rsidR="7BC3222F">
        <w:t xml:space="preserve">the </w:t>
      </w:r>
      <w:r w:rsidR="7BC3222F" w:rsidRPr="6657A744">
        <w:rPr>
          <w:b/>
          <w:bCs/>
        </w:rPr>
        <w:t>Details</w:t>
      </w:r>
      <w:r w:rsidR="7BC3222F">
        <w:t xml:space="preserve"> sub-tab for the property and under </w:t>
      </w:r>
      <w:r w:rsidR="7BC3222F" w:rsidRPr="6657A744">
        <w:rPr>
          <w:b/>
          <w:bCs/>
        </w:rPr>
        <w:t>Property Uses and Use Details</w:t>
      </w:r>
      <w:r w:rsidR="7BC3222F">
        <w:t xml:space="preserve">, select from the </w:t>
      </w:r>
      <w:r w:rsidR="7BC3222F" w:rsidRPr="6657A744">
        <w:rPr>
          <w:b/>
          <w:bCs/>
        </w:rPr>
        <w:t>Action</w:t>
      </w:r>
      <w:r w:rsidR="7BC3222F">
        <w:t xml:space="preserve"> dropdown “Update with New Information.” Then adjust the square footage and update the </w:t>
      </w:r>
      <w:r w:rsidR="7BC3222F" w:rsidRPr="6657A744">
        <w:rPr>
          <w:b/>
          <w:bCs/>
        </w:rPr>
        <w:t xml:space="preserve">Current </w:t>
      </w:r>
      <w:proofErr w:type="gramStart"/>
      <w:r w:rsidR="7BC3222F" w:rsidRPr="6657A744">
        <w:rPr>
          <w:b/>
          <w:bCs/>
        </w:rPr>
        <w:t>As</w:t>
      </w:r>
      <w:proofErr w:type="gramEnd"/>
      <w:r w:rsidR="7BC3222F" w:rsidRPr="6657A744">
        <w:rPr>
          <w:b/>
          <w:bCs/>
        </w:rPr>
        <w:t xml:space="preserve"> Of</w:t>
      </w:r>
      <w:r w:rsidR="7BC3222F">
        <w:t xml:space="preserve"> date with the date the change took effect. </w:t>
      </w:r>
    </w:p>
    <w:p w14:paraId="2FD08408" w14:textId="77777777" w:rsidR="00D86C99" w:rsidRPr="00204C93" w:rsidRDefault="417261CD" w:rsidP="6657A744">
      <w:pPr>
        <w:pStyle w:val="Heading2"/>
        <w:numPr>
          <w:ilvl w:val="0"/>
          <w:numId w:val="19"/>
        </w:numPr>
        <w:rPr>
          <w:color w:val="006666" w:themeColor="accent6"/>
        </w:rPr>
      </w:pPr>
      <w:bookmarkStart w:id="26" w:name="_Toc430955083"/>
      <w:bookmarkStart w:id="27" w:name="_Ref431452222"/>
      <w:r w:rsidRPr="6657A744">
        <w:rPr>
          <w:color w:val="006666" w:themeColor="accent6"/>
        </w:rPr>
        <w:t>What if my building isn’t fully occupied?</w:t>
      </w:r>
      <w:bookmarkEnd w:id="26"/>
      <w:bookmarkEnd w:id="27"/>
    </w:p>
    <w:p w14:paraId="6D65EDDC" w14:textId="77777777" w:rsidR="00D86C99" w:rsidRDefault="00D86C99" w:rsidP="00D86C99">
      <w:r>
        <w:t xml:space="preserve">Report the percentage of the building that is occupied when you first </w:t>
      </w:r>
      <w:proofErr w:type="gramStart"/>
      <w:r>
        <w:t>create</w:t>
      </w:r>
      <w:proofErr w:type="gramEnd"/>
      <w:r>
        <w:t xml:space="preserve"> the building within Portfolio Manager. For office buildings with 10% or higher vacancy</w:t>
      </w:r>
      <w:r w:rsidR="002270F0">
        <w:t xml:space="preserve"> over 12 months, the vacant space must be input into Portfolio Manager separately from the occupied space as another use type </w:t>
      </w:r>
      <w:r>
        <w:t>with zero operating hours, computers, and workers.</w:t>
      </w:r>
      <w:r w:rsidR="002270F0">
        <w:t xml:space="preserve"> Follow these steps to add a vacant space to your property.</w:t>
      </w:r>
    </w:p>
    <w:p w14:paraId="7A6311A5" w14:textId="77777777" w:rsidR="00200EA2" w:rsidRDefault="00200EA2" w:rsidP="00200EA2">
      <w:pPr>
        <w:pStyle w:val="ListParagraph"/>
        <w:numPr>
          <w:ilvl w:val="0"/>
          <w:numId w:val="20"/>
        </w:numPr>
      </w:pPr>
      <w:r>
        <w:t xml:space="preserve">Select your property in Portfolio Manager and open the </w:t>
      </w:r>
      <w:r w:rsidRPr="00200EA2">
        <w:rPr>
          <w:b/>
        </w:rPr>
        <w:t>Details</w:t>
      </w:r>
      <w:r>
        <w:t xml:space="preserve"> sub tab.</w:t>
      </w:r>
    </w:p>
    <w:p w14:paraId="7C14440C" w14:textId="7A6F8451" w:rsidR="00200EA2" w:rsidRDefault="00200EA2" w:rsidP="00200EA2">
      <w:pPr>
        <w:pStyle w:val="ListParagraph"/>
        <w:numPr>
          <w:ilvl w:val="0"/>
          <w:numId w:val="20"/>
        </w:numPr>
      </w:pPr>
      <w:r>
        <w:t>Under Property Uses and Use Details, fro</w:t>
      </w:r>
      <w:r w:rsidR="00D459CA">
        <w:t>m the dropdown select the type o</w:t>
      </w:r>
      <w:r>
        <w:t>f use that the vacant area would be if occupied and click “Add.”</w:t>
      </w:r>
    </w:p>
    <w:p w14:paraId="3083764C" w14:textId="77777777" w:rsidR="00200EA2" w:rsidRDefault="00200EA2" w:rsidP="00200EA2">
      <w:pPr>
        <w:pStyle w:val="ListParagraph"/>
        <w:numPr>
          <w:ilvl w:val="0"/>
          <w:numId w:val="20"/>
        </w:numPr>
      </w:pPr>
      <w:r>
        <w:t>On the page that opens, provide details of this space.</w:t>
      </w:r>
    </w:p>
    <w:p w14:paraId="3E5E17DA" w14:textId="77777777" w:rsidR="00200EA2" w:rsidRDefault="00200EA2" w:rsidP="00200EA2">
      <w:pPr>
        <w:pStyle w:val="ListParagraph"/>
        <w:numPr>
          <w:ilvl w:val="1"/>
          <w:numId w:val="20"/>
        </w:numPr>
      </w:pPr>
      <w:r>
        <w:t>Under name, identify the space as vacant.</w:t>
      </w:r>
    </w:p>
    <w:p w14:paraId="3AC5E2A8" w14:textId="77777777" w:rsidR="000029E4" w:rsidRDefault="000029E4" w:rsidP="00200EA2">
      <w:pPr>
        <w:pStyle w:val="ListParagraph"/>
        <w:numPr>
          <w:ilvl w:val="1"/>
          <w:numId w:val="20"/>
        </w:numPr>
      </w:pPr>
      <w:r>
        <w:t>Enter the vacant square footage.</w:t>
      </w:r>
    </w:p>
    <w:p w14:paraId="5495266A" w14:textId="77777777" w:rsidR="00200EA2" w:rsidRDefault="00200EA2" w:rsidP="00200EA2">
      <w:pPr>
        <w:pStyle w:val="ListParagraph"/>
        <w:numPr>
          <w:ilvl w:val="1"/>
          <w:numId w:val="20"/>
        </w:numPr>
      </w:pPr>
      <w:r>
        <w:t>Enter 0 for the operating hours, workers, and numbers of computers.</w:t>
      </w:r>
    </w:p>
    <w:p w14:paraId="78EF931C" w14:textId="77777777" w:rsidR="00200EA2" w:rsidRDefault="000029E4" w:rsidP="00200EA2">
      <w:pPr>
        <w:pStyle w:val="ListParagraph"/>
        <w:numPr>
          <w:ilvl w:val="1"/>
          <w:numId w:val="20"/>
        </w:numPr>
      </w:pPr>
      <w:r>
        <w:t>Select the percent heated and cooled for the conditioning occurring in the vacant space.</w:t>
      </w:r>
    </w:p>
    <w:p w14:paraId="7EA14708" w14:textId="77777777" w:rsidR="000029E4" w:rsidRDefault="000029E4" w:rsidP="000029E4">
      <w:pPr>
        <w:pStyle w:val="ListParagraph"/>
        <w:numPr>
          <w:ilvl w:val="0"/>
          <w:numId w:val="20"/>
        </w:numPr>
      </w:pPr>
      <w:r>
        <w:t>Click “Save Use.”</w:t>
      </w:r>
    </w:p>
    <w:p w14:paraId="0C2EFEF0" w14:textId="77777777" w:rsidR="00257BFE" w:rsidRDefault="000029E4" w:rsidP="000029E4">
      <w:pPr>
        <w:pStyle w:val="ListParagraph"/>
        <w:numPr>
          <w:ilvl w:val="0"/>
          <w:numId w:val="20"/>
        </w:numPr>
      </w:pPr>
      <w:proofErr w:type="gramStart"/>
      <w:r>
        <w:t>Under</w:t>
      </w:r>
      <w:proofErr w:type="gramEnd"/>
      <w:r>
        <w:t xml:space="preserve"> Property Uses and Use Details, you should n</w:t>
      </w:r>
      <w:r w:rsidR="00257BFE">
        <w:t xml:space="preserve">ow have more than one </w:t>
      </w:r>
      <w:proofErr w:type="gramStart"/>
      <w:r w:rsidR="00257BFE">
        <w:t>space use</w:t>
      </w:r>
      <w:proofErr w:type="gramEnd"/>
      <w:r w:rsidR="00257BFE">
        <w:t xml:space="preserve"> and the applicable square footage for each use.</w:t>
      </w:r>
    </w:p>
    <w:p w14:paraId="01F6E893" w14:textId="77777777" w:rsidR="000029E4" w:rsidRDefault="00257BFE" w:rsidP="00257BFE">
      <w:pPr>
        <w:pStyle w:val="ListParagraph"/>
        <w:numPr>
          <w:ilvl w:val="1"/>
          <w:numId w:val="20"/>
        </w:numPr>
      </w:pPr>
      <w:r>
        <w:t xml:space="preserve">In some cases, </w:t>
      </w:r>
      <w:r w:rsidR="000029E4">
        <w:t xml:space="preserve">the gross floor area for these uses may now </w:t>
      </w:r>
      <w:r>
        <w:t>sum to</w:t>
      </w:r>
      <w:r w:rsidR="000029E4">
        <w:t xml:space="preserve"> more than the building square footage.</w:t>
      </w:r>
      <w:r>
        <w:t xml:space="preserve"> There will be an alert “!” next to the Property GFA if this is the case.</w:t>
      </w:r>
    </w:p>
    <w:p w14:paraId="0B86582A" w14:textId="6B6707F7" w:rsidR="00257BFE" w:rsidRDefault="00257BFE" w:rsidP="00257BFE">
      <w:pPr>
        <w:pStyle w:val="ListParagraph"/>
        <w:numPr>
          <w:ilvl w:val="1"/>
          <w:numId w:val="20"/>
        </w:numPr>
      </w:pPr>
      <w:r>
        <w:t xml:space="preserve">In this case, you must select the original property use in the list that currently represents the whole building square </w:t>
      </w:r>
      <w:r w:rsidR="00C058B3">
        <w:t>footage and</w:t>
      </w:r>
      <w:r>
        <w:t xml:space="preserve"> update the square footage to be less than the vacant space.</w:t>
      </w:r>
    </w:p>
    <w:p w14:paraId="3BF10006" w14:textId="77777777" w:rsidR="00257BFE" w:rsidRDefault="00257BFE" w:rsidP="00257BFE">
      <w:pPr>
        <w:pStyle w:val="ListParagraph"/>
        <w:numPr>
          <w:ilvl w:val="2"/>
          <w:numId w:val="20"/>
        </w:numPr>
      </w:pPr>
      <w:r>
        <w:t xml:space="preserve">From the </w:t>
      </w:r>
      <w:r w:rsidRPr="00257BFE">
        <w:rPr>
          <w:b/>
        </w:rPr>
        <w:t>Action</w:t>
      </w:r>
      <w:r>
        <w:t xml:space="preserve"> drop down for the original use, select “Correct Mistakes.”</w:t>
      </w:r>
    </w:p>
    <w:p w14:paraId="279ACBEF" w14:textId="77777777" w:rsidR="00257BFE" w:rsidRDefault="00257BFE" w:rsidP="00257BFE">
      <w:pPr>
        <w:pStyle w:val="ListParagraph"/>
        <w:numPr>
          <w:ilvl w:val="2"/>
          <w:numId w:val="20"/>
        </w:numPr>
      </w:pPr>
      <w:r>
        <w:t xml:space="preserve">In the new window, under </w:t>
      </w:r>
      <w:r w:rsidRPr="00257BFE">
        <w:rPr>
          <w:b/>
        </w:rPr>
        <w:t>Gross Floor Area</w:t>
      </w:r>
      <w:r>
        <w:t xml:space="preserve">, in the column </w:t>
      </w:r>
      <w:r w:rsidRPr="00257BFE">
        <w:rPr>
          <w:b/>
        </w:rPr>
        <w:t>Value</w:t>
      </w:r>
      <w:r>
        <w:t>, update the square footage.</w:t>
      </w:r>
    </w:p>
    <w:p w14:paraId="788E5CEC" w14:textId="77777777" w:rsidR="00257BFE" w:rsidRDefault="00B47B00" w:rsidP="00257BFE">
      <w:pPr>
        <w:pStyle w:val="ListParagraph"/>
        <w:numPr>
          <w:ilvl w:val="2"/>
          <w:numId w:val="20"/>
        </w:numPr>
      </w:pPr>
      <w:r>
        <w:t>Click “Save Corrections.”</w:t>
      </w:r>
    </w:p>
    <w:p w14:paraId="51F2D973" w14:textId="7ED8B897" w:rsidR="00FC1101" w:rsidRPr="00C058B3" w:rsidRDefault="00257BFE" w:rsidP="6657A744">
      <w:pPr>
        <w:pStyle w:val="ListParagraph"/>
        <w:numPr>
          <w:ilvl w:val="2"/>
          <w:numId w:val="20"/>
        </w:numPr>
      </w:pPr>
      <w:r>
        <w:t>The property GFA should now match.</w:t>
      </w:r>
    </w:p>
    <w:p w14:paraId="6C8CF3C1" w14:textId="77777777" w:rsidR="00D86C99" w:rsidRPr="00204C93" w:rsidRDefault="417261CD" w:rsidP="6657A744">
      <w:pPr>
        <w:pStyle w:val="Heading2"/>
        <w:numPr>
          <w:ilvl w:val="0"/>
          <w:numId w:val="19"/>
        </w:numPr>
        <w:rPr>
          <w:color w:val="006666" w:themeColor="accent6"/>
        </w:rPr>
      </w:pPr>
      <w:bookmarkStart w:id="28" w:name="_Toc430955084"/>
      <w:r w:rsidRPr="6657A744">
        <w:rPr>
          <w:color w:val="006666" w:themeColor="accent6"/>
        </w:rPr>
        <w:lastRenderedPageBreak/>
        <w:t>What if my whole building is rented by a single tenant?</w:t>
      </w:r>
      <w:bookmarkEnd w:id="28"/>
      <w:r w:rsidRPr="6657A744">
        <w:rPr>
          <w:color w:val="006666" w:themeColor="accent6"/>
        </w:rPr>
        <w:t xml:space="preserve"> </w:t>
      </w:r>
    </w:p>
    <w:p w14:paraId="7670314A" w14:textId="08C824AD" w:rsidR="00D86C99" w:rsidRDefault="417261CD" w:rsidP="6657A744">
      <w:pPr>
        <w:rPr>
          <w:color w:val="006666" w:themeColor="accent6"/>
        </w:rPr>
      </w:pPr>
      <w:r>
        <w:t>If your building has a single tenant who has assumed management of the entire building, you and your tenant can agree to delegate reporting duties to the tenant. This delegation must be noted in the “Property Notes” section of Portfolio Manager.</w:t>
      </w:r>
      <w:r w:rsidR="108A0729">
        <w:t xml:space="preserve"> </w:t>
      </w:r>
      <w:r w:rsidR="1D1FC6AD">
        <w:t>You must also</w:t>
      </w:r>
      <w:r w:rsidR="108A0729">
        <w:t xml:space="preserve"> make sure that this tenant is assigned as the point of contact for this building with the </w:t>
      </w:r>
      <w:r w:rsidR="69BBE01E">
        <w:t xml:space="preserve">city </w:t>
      </w:r>
      <w:r w:rsidR="0279FA10">
        <w:t xml:space="preserve">by </w:t>
      </w:r>
      <w:r w:rsidR="0279FA10" w:rsidRPr="6657A744">
        <w:rPr>
          <w:b/>
          <w:bCs/>
        </w:rPr>
        <w:t>Claiming your Building</w:t>
      </w:r>
      <w:r w:rsidR="0279FA10">
        <w:t xml:space="preserve"> on the program </w:t>
      </w:r>
      <w:hyperlink r:id="rId29" w:anchor="section-1822">
        <w:r w:rsidR="0279FA10" w:rsidRPr="6657A744">
          <w:rPr>
            <w:rStyle w:val="Hyperlink"/>
          </w:rPr>
          <w:t>website</w:t>
        </w:r>
      </w:hyperlink>
      <w:r w:rsidR="0279FA10" w:rsidRPr="6657A744">
        <w:t>.</w:t>
      </w:r>
    </w:p>
    <w:p w14:paraId="491FDF97" w14:textId="77777777" w:rsidR="00292B5D" w:rsidRPr="00204C93" w:rsidRDefault="417261CD" w:rsidP="6657A744">
      <w:pPr>
        <w:pStyle w:val="Heading2"/>
        <w:numPr>
          <w:ilvl w:val="0"/>
          <w:numId w:val="19"/>
        </w:numPr>
        <w:rPr>
          <w:color w:val="006666" w:themeColor="accent6"/>
        </w:rPr>
      </w:pPr>
      <w:bookmarkStart w:id="29" w:name="_Toc430955085"/>
      <w:r w:rsidRPr="6657A744">
        <w:rPr>
          <w:color w:val="006666" w:themeColor="accent6"/>
        </w:rPr>
        <w:t>Are there any energy uses that are not part of my building’s energy use?</w:t>
      </w:r>
      <w:bookmarkEnd w:id="29"/>
      <w:r w:rsidRPr="6657A744">
        <w:rPr>
          <w:color w:val="006666" w:themeColor="accent6"/>
        </w:rPr>
        <w:t xml:space="preserve"> </w:t>
      </w:r>
    </w:p>
    <w:p w14:paraId="66D1797F" w14:textId="77777777" w:rsidR="00292B5D" w:rsidRDefault="417261CD" w:rsidP="6657A744">
      <w:pPr>
        <w:rPr>
          <w:color w:val="006666" w:themeColor="accent6"/>
        </w:rPr>
      </w:pPr>
      <w:r>
        <w:t xml:space="preserve">Cell phone towers, radio masts, and any external billboards used for leased advertising space are not part of building energy </w:t>
      </w:r>
      <w:proofErr w:type="gramStart"/>
      <w:r>
        <w:t>use, and</w:t>
      </w:r>
      <w:proofErr w:type="gramEnd"/>
      <w:r>
        <w:t xml:space="preserve"> may be excluded if </w:t>
      </w:r>
      <w:proofErr w:type="spellStart"/>
      <w:r>
        <w:t>submetered</w:t>
      </w:r>
      <w:proofErr w:type="spellEnd"/>
      <w:r>
        <w:t xml:space="preserve">. If you are not using whole-building data, and are submetering your parking areas, you may exclude parking area energy use since parking doesn’t count towards your gross floor area. </w:t>
      </w:r>
    </w:p>
    <w:p w14:paraId="0D2EEE95" w14:textId="77777777" w:rsidR="00292B5D" w:rsidRPr="00204C93" w:rsidRDefault="417261CD" w:rsidP="6657A744">
      <w:pPr>
        <w:pStyle w:val="Heading2"/>
        <w:numPr>
          <w:ilvl w:val="0"/>
          <w:numId w:val="19"/>
        </w:numPr>
        <w:rPr>
          <w:color w:val="006666" w:themeColor="accent6"/>
        </w:rPr>
      </w:pPr>
      <w:bookmarkStart w:id="30" w:name="_Toc430955086"/>
      <w:r w:rsidRPr="6657A744">
        <w:rPr>
          <w:color w:val="006666" w:themeColor="accent6"/>
        </w:rPr>
        <w:t>What if there is split ownership of the building?</w:t>
      </w:r>
      <w:bookmarkEnd w:id="30"/>
      <w:r w:rsidRPr="6657A744">
        <w:rPr>
          <w:color w:val="006666" w:themeColor="accent6"/>
        </w:rPr>
        <w:t xml:space="preserve"> </w:t>
      </w:r>
    </w:p>
    <w:p w14:paraId="5C837DC1" w14:textId="64651FFB" w:rsidR="00D86C99" w:rsidRDefault="417261CD" w:rsidP="6657A744">
      <w:pPr>
        <w:rPr>
          <w:color w:val="006666" w:themeColor="accent6"/>
        </w:rPr>
      </w:pPr>
      <w:r>
        <w:t>The primary owner listed in the</w:t>
      </w:r>
      <w:r w:rsidR="108A0729">
        <w:t xml:space="preserve"> Boulder County Tax Assessor</w:t>
      </w:r>
      <w:r>
        <w:t xml:space="preserve"> records is responsible for compliance with all aspects of the ordinance.</w:t>
      </w:r>
      <w:r w:rsidR="108A0729">
        <w:t xml:space="preserve"> Please refer to the </w:t>
      </w:r>
      <w:r w:rsidR="611C6179" w:rsidRPr="6657A744">
        <w:rPr>
          <w:b/>
          <w:bCs/>
        </w:rPr>
        <w:t xml:space="preserve">Affected </w:t>
      </w:r>
      <w:r w:rsidR="5864FC56" w:rsidRPr="6657A744">
        <w:rPr>
          <w:b/>
          <w:bCs/>
        </w:rPr>
        <w:t>Building</w:t>
      </w:r>
      <w:r w:rsidR="611C6179" w:rsidRPr="6657A744">
        <w:rPr>
          <w:b/>
          <w:bCs/>
        </w:rPr>
        <w:t xml:space="preserve"> List </w:t>
      </w:r>
      <w:r w:rsidR="0279FA10">
        <w:t xml:space="preserve">on the program </w:t>
      </w:r>
      <w:hyperlink r:id="rId30" w:anchor="section-1822">
        <w:r w:rsidR="0279FA10" w:rsidRPr="6657A744">
          <w:rPr>
            <w:rStyle w:val="Hyperlink"/>
          </w:rPr>
          <w:t>website</w:t>
        </w:r>
      </w:hyperlink>
      <w:r w:rsidR="0279FA10">
        <w:t xml:space="preserve"> </w:t>
      </w:r>
      <w:r w:rsidR="108A0729">
        <w:t>to see the primary owner assigned to each building.</w:t>
      </w:r>
    </w:p>
    <w:p w14:paraId="3B7C34B9" w14:textId="77777777" w:rsidR="00D86C99" w:rsidRPr="00204C93" w:rsidRDefault="1AD774AE" w:rsidP="6657A744">
      <w:pPr>
        <w:pStyle w:val="Heading2"/>
        <w:numPr>
          <w:ilvl w:val="0"/>
          <w:numId w:val="19"/>
        </w:numPr>
        <w:rPr>
          <w:color w:val="006666" w:themeColor="accent6"/>
        </w:rPr>
      </w:pPr>
      <w:bookmarkStart w:id="31" w:name="_Toc430955087"/>
      <w:r w:rsidRPr="6657A744">
        <w:rPr>
          <w:color w:val="006666" w:themeColor="accent6"/>
        </w:rPr>
        <w:t xml:space="preserve">What is Source EUI? What is an </w:t>
      </w:r>
      <w:r w:rsidR="1E8E2453" w:rsidRPr="6657A744">
        <w:rPr>
          <w:color w:val="006666" w:themeColor="accent6"/>
        </w:rPr>
        <w:t>ENERGY</w:t>
      </w:r>
      <w:r w:rsidR="5605B067" w:rsidRPr="6657A744">
        <w:rPr>
          <w:color w:val="006666" w:themeColor="accent6"/>
        </w:rPr>
        <w:t xml:space="preserve"> STAR </w:t>
      </w:r>
      <w:r w:rsidRPr="6657A744">
        <w:rPr>
          <w:color w:val="006666" w:themeColor="accent6"/>
        </w:rPr>
        <w:t>score? How are they calculated?</w:t>
      </w:r>
      <w:bookmarkEnd w:id="31"/>
    </w:p>
    <w:p w14:paraId="26FF6E5B" w14:textId="77777777" w:rsidR="00292B5D" w:rsidRDefault="00292B5D" w:rsidP="00D86C99">
      <w:r>
        <w:t xml:space="preserve">Energy use intensity (EUI) is the building’s energy use per square foot. </w:t>
      </w:r>
      <w:r w:rsidR="00504C35" w:rsidRPr="00734042">
        <w:t xml:space="preserve">Source </w:t>
      </w:r>
      <w:r w:rsidR="00504C35">
        <w:t>energy accounts for</w:t>
      </w:r>
      <w:r w:rsidR="00504C35" w:rsidRPr="00734042">
        <w:t xml:space="preserve"> all the energy used in delivering energy to a </w:t>
      </w:r>
      <w:r w:rsidR="00504C35">
        <w:t>building</w:t>
      </w:r>
      <w:r w:rsidR="00504C35" w:rsidRPr="00734042">
        <w:t>, including power generation and trans</w:t>
      </w:r>
      <w:r w:rsidR="00504C35">
        <w:t>mission and distribution losses. Site energy is</w:t>
      </w:r>
      <w:r w:rsidR="00504C35" w:rsidRPr="00734042">
        <w:t xml:space="preserve"> the amount of energy consumed by a </w:t>
      </w:r>
      <w:r w:rsidR="00504C35">
        <w:t>building</w:t>
      </w:r>
      <w:r w:rsidR="00504C35" w:rsidRPr="00734042">
        <w:t xml:space="preserve"> as reflected in utility bills.</w:t>
      </w:r>
      <w:r w:rsidR="00707D8B">
        <w:t xml:space="preserve"> </w:t>
      </w:r>
      <w:r>
        <w:t>Portfolio Manager typically shows a building’s Source EUI, which is a complete assessment of the fuel required for operating the building. When you see Weather Normalized Source EUI, this is an estimate of what the Source EUI would have been in a year with “normal” weather conditions. For example, in a very hot year, Portfolio Manager might estimate your Weather Normalized Source EUI to be lower than your actual Source EUI.</w:t>
      </w:r>
      <w:r w:rsidR="00504C35">
        <w:t xml:space="preserve"> This allows an owner to more accurately compare a building’s efficiency from year to year.</w:t>
      </w:r>
    </w:p>
    <w:p w14:paraId="30396809" w14:textId="77777777" w:rsidR="00D86C99" w:rsidRDefault="12A7964B" w:rsidP="6657A744">
      <w:pPr>
        <w:rPr>
          <w:color w:val="006666" w:themeColor="accent6"/>
        </w:rPr>
      </w:pPr>
      <w:r>
        <w:t xml:space="preserve">The </w:t>
      </w:r>
      <w:r w:rsidR="5605B067">
        <w:t>ENERGY STAR</w:t>
      </w:r>
      <w:r w:rsidR="1AD774AE">
        <w:t xml:space="preserve"> score is a percentile score, on a scale of 1-100, comparing your building’s energy performance with that of similar buildings in the U.S. The score normalizes for climate, weather, building size, number of employees, and other operational factors. A score close to 100 indicates </w:t>
      </w:r>
      <w:r w:rsidR="019C99EB">
        <w:t>the most energy efficient</w:t>
      </w:r>
      <w:r w:rsidR="1AD774AE">
        <w:t xml:space="preserve"> building.</w:t>
      </w:r>
      <w:r w:rsidR="019C99EB">
        <w:t xml:space="preserve"> A score of 75 or above qualifies a building for </w:t>
      </w:r>
      <w:hyperlink r:id="rId31">
        <w:r w:rsidR="019C99EB" w:rsidRPr="6657A744">
          <w:rPr>
            <w:rStyle w:val="Hyperlink"/>
          </w:rPr>
          <w:t>ENERGY STAR Certification</w:t>
        </w:r>
      </w:hyperlink>
      <w:r w:rsidR="019C99EB">
        <w:t>.</w:t>
      </w:r>
    </w:p>
    <w:p w14:paraId="2558E5FB" w14:textId="77777777" w:rsidR="00292B5D" w:rsidRPr="00204C93" w:rsidRDefault="1AD774AE" w:rsidP="6657A744">
      <w:pPr>
        <w:pStyle w:val="Heading2"/>
        <w:numPr>
          <w:ilvl w:val="0"/>
          <w:numId w:val="19"/>
        </w:numPr>
        <w:rPr>
          <w:color w:val="006666" w:themeColor="accent6"/>
        </w:rPr>
      </w:pPr>
      <w:bookmarkStart w:id="32" w:name="_Toc430955088"/>
      <w:r w:rsidRPr="6657A744">
        <w:rPr>
          <w:color w:val="006666" w:themeColor="accent6"/>
        </w:rPr>
        <w:t xml:space="preserve">What if my building doesn’t receive an </w:t>
      </w:r>
      <w:r w:rsidR="5605B067" w:rsidRPr="6657A744">
        <w:rPr>
          <w:color w:val="006666" w:themeColor="accent6"/>
        </w:rPr>
        <w:t>ENER</w:t>
      </w:r>
      <w:r w:rsidR="019C99EB" w:rsidRPr="6657A744">
        <w:rPr>
          <w:color w:val="006666" w:themeColor="accent6"/>
        </w:rPr>
        <w:t>GY</w:t>
      </w:r>
      <w:r w:rsidR="5605B067" w:rsidRPr="6657A744">
        <w:rPr>
          <w:color w:val="006666" w:themeColor="accent6"/>
        </w:rPr>
        <w:t xml:space="preserve"> STAR</w:t>
      </w:r>
      <w:r w:rsidRPr="6657A744">
        <w:rPr>
          <w:color w:val="006666" w:themeColor="accent6"/>
        </w:rPr>
        <w:t xml:space="preserve"> score?</w:t>
      </w:r>
      <w:bookmarkEnd w:id="32"/>
      <w:r w:rsidRPr="6657A744">
        <w:rPr>
          <w:color w:val="006666" w:themeColor="accent6"/>
        </w:rPr>
        <w:t xml:space="preserve"> </w:t>
      </w:r>
    </w:p>
    <w:p w14:paraId="5E7B9750" w14:textId="77777777" w:rsidR="00292B5D" w:rsidRDefault="00292B5D" w:rsidP="00D86C99">
      <w:r>
        <w:t xml:space="preserve">Only some building types will receive an </w:t>
      </w:r>
      <w:r w:rsidR="00BC5C9E">
        <w:t>ENERGY STAR</w:t>
      </w:r>
      <w:r>
        <w:t xml:space="preserve"> score, due to limitations in the national comparative dataset. Thus, many buildings will submit their energy r</w:t>
      </w:r>
      <w:r w:rsidR="00BC5C9E">
        <w:t xml:space="preserve">eports to the </w:t>
      </w:r>
      <w:proofErr w:type="gramStart"/>
      <w:r w:rsidR="00BC5C9E">
        <w:t>City</w:t>
      </w:r>
      <w:proofErr w:type="gramEnd"/>
      <w:r w:rsidR="00BC5C9E">
        <w:t xml:space="preserve"> without an ENERGY STAR </w:t>
      </w:r>
      <w:r>
        <w:t>score.</w:t>
      </w:r>
      <w:r w:rsidR="00362C3D">
        <w:t xml:space="preserve"> The following building types are </w:t>
      </w:r>
      <w:r w:rsidR="00D459CA">
        <w:t>eligible</w:t>
      </w:r>
      <w:r w:rsidR="00362C3D">
        <w:t xml:space="preserve"> for a score:</w:t>
      </w:r>
    </w:p>
    <w:p w14:paraId="4668BCB1" w14:textId="77777777" w:rsidR="00332B0A" w:rsidRDefault="00332B0A" w:rsidP="00332B0A">
      <w:pPr>
        <w:numPr>
          <w:ilvl w:val="0"/>
          <w:numId w:val="26"/>
        </w:numPr>
        <w:shd w:val="clear" w:color="auto" w:fill="FFFFFF"/>
        <w:spacing w:before="100" w:beforeAutospacing="1" w:after="100" w:afterAutospacing="1" w:line="315" w:lineRule="atLeast"/>
        <w:ind w:left="600"/>
        <w:sectPr w:rsidR="00332B0A" w:rsidSect="00C326AF">
          <w:headerReference w:type="default" r:id="rId32"/>
          <w:footerReference w:type="default" r:id="rId33"/>
          <w:headerReference w:type="first" r:id="rId34"/>
          <w:footerReference w:type="first" r:id="rId35"/>
          <w:pgSz w:w="12240" w:h="15840"/>
          <w:pgMar w:top="1440" w:right="1440" w:bottom="1440" w:left="1440" w:header="432" w:footer="720" w:gutter="0"/>
          <w:cols w:space="720"/>
          <w:titlePg/>
          <w:docGrid w:linePitch="360"/>
        </w:sectPr>
      </w:pPr>
    </w:p>
    <w:p w14:paraId="3B1BA9F8"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36" w:anchor="BankBranch">
        <w:r w:rsidRPr="6657A744">
          <w:rPr>
            <w:rStyle w:val="Hyperlink"/>
            <w:rFonts w:ascii="Helvetica" w:hAnsi="Helvetica" w:cs="Helvetica"/>
            <w:color w:val="006666" w:themeColor="accent6"/>
            <w:sz w:val="18"/>
            <w:szCs w:val="18"/>
            <w:u w:val="none"/>
          </w:rPr>
          <w:t>Bank branch</w:t>
        </w:r>
      </w:hyperlink>
    </w:p>
    <w:p w14:paraId="2F545680"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37" w:anchor="Barracks">
        <w:r w:rsidRPr="6657A744">
          <w:rPr>
            <w:rStyle w:val="Hyperlink"/>
            <w:rFonts w:ascii="Helvetica" w:hAnsi="Helvetica" w:cs="Helvetica"/>
            <w:color w:val="006666" w:themeColor="accent6"/>
            <w:sz w:val="18"/>
            <w:szCs w:val="18"/>
            <w:u w:val="none"/>
          </w:rPr>
          <w:t>Barracks</w:t>
        </w:r>
      </w:hyperlink>
    </w:p>
    <w:p w14:paraId="51874A4F"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38" w:anchor="Courthouse">
        <w:r w:rsidRPr="6657A744">
          <w:rPr>
            <w:rStyle w:val="Hyperlink"/>
            <w:rFonts w:ascii="Helvetica" w:hAnsi="Helvetica" w:cs="Helvetica"/>
            <w:color w:val="006666" w:themeColor="accent6"/>
            <w:sz w:val="18"/>
            <w:szCs w:val="18"/>
            <w:u w:val="none"/>
          </w:rPr>
          <w:t>Courthouse</w:t>
        </w:r>
      </w:hyperlink>
    </w:p>
    <w:p w14:paraId="4E3AA26C"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39" w:anchor="DataCenter">
        <w:r w:rsidRPr="6657A744">
          <w:rPr>
            <w:rStyle w:val="Hyperlink"/>
            <w:rFonts w:ascii="Helvetica" w:hAnsi="Helvetica" w:cs="Helvetica"/>
            <w:color w:val="006666" w:themeColor="accent6"/>
            <w:sz w:val="18"/>
            <w:szCs w:val="18"/>
            <w:u w:val="none"/>
          </w:rPr>
          <w:t>Data center</w:t>
        </w:r>
      </w:hyperlink>
    </w:p>
    <w:p w14:paraId="3A75EE63"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0" w:anchor="DistributionCenter">
        <w:r w:rsidRPr="6657A744">
          <w:rPr>
            <w:rStyle w:val="Hyperlink"/>
            <w:rFonts w:ascii="Helvetica" w:hAnsi="Helvetica" w:cs="Helvetica"/>
            <w:color w:val="006666" w:themeColor="accent6"/>
            <w:sz w:val="18"/>
            <w:szCs w:val="18"/>
            <w:u w:val="none"/>
          </w:rPr>
          <w:t>Distribution center</w:t>
        </w:r>
      </w:hyperlink>
    </w:p>
    <w:p w14:paraId="59472E0B"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1" w:anchor="FinancialOffice">
        <w:r w:rsidRPr="6657A744">
          <w:rPr>
            <w:rStyle w:val="Hyperlink"/>
            <w:rFonts w:ascii="Helvetica" w:hAnsi="Helvetica" w:cs="Helvetica"/>
            <w:color w:val="006666" w:themeColor="accent6"/>
            <w:sz w:val="18"/>
            <w:szCs w:val="18"/>
            <w:u w:val="none"/>
          </w:rPr>
          <w:t>Financial office</w:t>
        </w:r>
      </w:hyperlink>
    </w:p>
    <w:p w14:paraId="1ABE5349"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2" w:anchor="HospitalGeneralMedicalAndSurgical">
        <w:r w:rsidRPr="6657A744">
          <w:rPr>
            <w:rStyle w:val="Hyperlink"/>
            <w:rFonts w:ascii="Helvetica" w:hAnsi="Helvetica" w:cs="Helvetica"/>
            <w:color w:val="006666" w:themeColor="accent6"/>
            <w:sz w:val="18"/>
            <w:szCs w:val="18"/>
            <w:u w:val="none"/>
          </w:rPr>
          <w:t>Hospital (general medical &amp; surgical)</w:t>
        </w:r>
      </w:hyperlink>
    </w:p>
    <w:p w14:paraId="128DD198"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3" w:anchor="Hotel">
        <w:r w:rsidRPr="6657A744">
          <w:rPr>
            <w:rStyle w:val="Hyperlink"/>
            <w:rFonts w:ascii="Helvetica" w:hAnsi="Helvetica" w:cs="Helvetica"/>
            <w:color w:val="006666" w:themeColor="accent6"/>
            <w:sz w:val="18"/>
            <w:szCs w:val="18"/>
            <w:u w:val="none"/>
          </w:rPr>
          <w:t>Hotel</w:t>
        </w:r>
      </w:hyperlink>
    </w:p>
    <w:p w14:paraId="65AE5EED"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4" w:anchor="K12School">
        <w:r w:rsidRPr="6657A744">
          <w:rPr>
            <w:rStyle w:val="Hyperlink"/>
            <w:rFonts w:ascii="Helvetica" w:hAnsi="Helvetica" w:cs="Helvetica"/>
            <w:color w:val="006666" w:themeColor="accent6"/>
            <w:sz w:val="18"/>
            <w:szCs w:val="18"/>
            <w:u w:val="none"/>
          </w:rPr>
          <w:t>K-12 school</w:t>
        </w:r>
      </w:hyperlink>
    </w:p>
    <w:p w14:paraId="6D7C9877"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5" w:anchor="MedicalOffice">
        <w:r w:rsidRPr="6657A744">
          <w:rPr>
            <w:rStyle w:val="Hyperlink"/>
            <w:rFonts w:ascii="Helvetica" w:hAnsi="Helvetica" w:cs="Helvetica"/>
            <w:color w:val="006666" w:themeColor="accent6"/>
            <w:sz w:val="18"/>
            <w:szCs w:val="18"/>
            <w:u w:val="none"/>
          </w:rPr>
          <w:t>Medical office</w:t>
        </w:r>
      </w:hyperlink>
    </w:p>
    <w:p w14:paraId="5FF1FC6C"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6" w:anchor="MultifamilyHousing">
        <w:r w:rsidRPr="6657A744">
          <w:rPr>
            <w:rStyle w:val="Hyperlink"/>
            <w:rFonts w:ascii="Helvetica" w:hAnsi="Helvetica" w:cs="Helvetica"/>
            <w:color w:val="006666" w:themeColor="accent6"/>
            <w:sz w:val="18"/>
            <w:szCs w:val="18"/>
            <w:u w:val="none"/>
          </w:rPr>
          <w:t>Multifamily housing</w:t>
        </w:r>
      </w:hyperlink>
    </w:p>
    <w:p w14:paraId="616DAA5A"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7" w:anchor="NonRefrigeratedWarehouse">
        <w:r w:rsidRPr="6657A744">
          <w:rPr>
            <w:rStyle w:val="Hyperlink"/>
            <w:rFonts w:ascii="Helvetica" w:hAnsi="Helvetica" w:cs="Helvetica"/>
            <w:color w:val="006666" w:themeColor="accent6"/>
            <w:sz w:val="18"/>
            <w:szCs w:val="18"/>
            <w:u w:val="none"/>
          </w:rPr>
          <w:t>Non-refrigerated warehouse</w:t>
        </w:r>
      </w:hyperlink>
    </w:p>
    <w:p w14:paraId="472D26D8"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8" w:anchor="Office">
        <w:r w:rsidRPr="6657A744">
          <w:rPr>
            <w:rStyle w:val="Hyperlink"/>
            <w:rFonts w:ascii="Helvetica" w:hAnsi="Helvetica" w:cs="Helvetica"/>
            <w:color w:val="006666" w:themeColor="accent6"/>
            <w:sz w:val="18"/>
            <w:szCs w:val="18"/>
            <w:u w:val="none"/>
          </w:rPr>
          <w:t>Office</w:t>
        </w:r>
      </w:hyperlink>
    </w:p>
    <w:p w14:paraId="2A3818BE"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49" w:anchor="RefrigeratedWarehouse">
        <w:r w:rsidRPr="6657A744">
          <w:rPr>
            <w:rStyle w:val="Hyperlink"/>
            <w:rFonts w:ascii="Helvetica" w:hAnsi="Helvetica" w:cs="Helvetica"/>
            <w:color w:val="006666" w:themeColor="accent6"/>
            <w:sz w:val="18"/>
            <w:szCs w:val="18"/>
            <w:u w:val="none"/>
          </w:rPr>
          <w:t>Refrigerated warehouse</w:t>
        </w:r>
      </w:hyperlink>
    </w:p>
    <w:p w14:paraId="4519F68F"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0" w:anchor="ResidenceHallDormitory">
        <w:r w:rsidRPr="6657A744">
          <w:rPr>
            <w:rStyle w:val="Hyperlink"/>
            <w:rFonts w:ascii="Helvetica" w:hAnsi="Helvetica" w:cs="Helvetica"/>
            <w:color w:val="006666" w:themeColor="accent6"/>
            <w:sz w:val="18"/>
            <w:szCs w:val="18"/>
            <w:u w:val="none"/>
          </w:rPr>
          <w:t>Residence hall/ dormitory</w:t>
        </w:r>
      </w:hyperlink>
    </w:p>
    <w:p w14:paraId="10149502"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1" w:anchor="RetailStore">
        <w:r w:rsidRPr="6657A744">
          <w:rPr>
            <w:rStyle w:val="Hyperlink"/>
            <w:rFonts w:ascii="Helvetica" w:hAnsi="Helvetica" w:cs="Helvetica"/>
            <w:color w:val="006666" w:themeColor="accent6"/>
            <w:sz w:val="18"/>
            <w:szCs w:val="18"/>
            <w:u w:val="none"/>
          </w:rPr>
          <w:t>Retail store</w:t>
        </w:r>
      </w:hyperlink>
    </w:p>
    <w:p w14:paraId="00A52507"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2" w:anchor="SeniorCareCommunity">
        <w:r w:rsidRPr="6657A744">
          <w:rPr>
            <w:rStyle w:val="Hyperlink"/>
            <w:rFonts w:ascii="Helvetica" w:hAnsi="Helvetica" w:cs="Helvetica"/>
            <w:color w:val="006666" w:themeColor="accent6"/>
            <w:sz w:val="18"/>
            <w:szCs w:val="18"/>
            <w:u w:val="none"/>
          </w:rPr>
          <w:t>Senior care community</w:t>
        </w:r>
      </w:hyperlink>
    </w:p>
    <w:p w14:paraId="5A8A32F7"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3" w:anchor="SupermarketGroceryStore">
        <w:r w:rsidRPr="6657A744">
          <w:rPr>
            <w:rStyle w:val="Hyperlink"/>
            <w:rFonts w:ascii="Helvetica" w:hAnsi="Helvetica" w:cs="Helvetica"/>
            <w:color w:val="006666" w:themeColor="accent6"/>
            <w:sz w:val="18"/>
            <w:szCs w:val="18"/>
            <w:u w:val="none"/>
          </w:rPr>
          <w:t>Supermarket/grocery store</w:t>
        </w:r>
      </w:hyperlink>
    </w:p>
    <w:p w14:paraId="02D21B22"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4" w:anchor="WastewaterTreatmentPlant">
        <w:r w:rsidRPr="6657A744">
          <w:rPr>
            <w:rStyle w:val="Hyperlink"/>
            <w:rFonts w:ascii="Helvetica" w:hAnsi="Helvetica" w:cs="Helvetica"/>
            <w:color w:val="006666" w:themeColor="accent6"/>
            <w:sz w:val="18"/>
            <w:szCs w:val="18"/>
            <w:u w:val="none"/>
          </w:rPr>
          <w:t>Wastewater treatment plant</w:t>
        </w:r>
      </w:hyperlink>
    </w:p>
    <w:p w14:paraId="5167876C"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5" w:anchor="WholesaleClubSupercenter">
        <w:r w:rsidRPr="6657A744">
          <w:rPr>
            <w:rStyle w:val="Hyperlink"/>
            <w:rFonts w:ascii="Helvetica" w:hAnsi="Helvetica" w:cs="Helvetica"/>
            <w:color w:val="006666" w:themeColor="accent6"/>
            <w:sz w:val="18"/>
            <w:szCs w:val="18"/>
            <w:u w:val="none"/>
          </w:rPr>
          <w:t>Wholesale club/supercenter</w:t>
        </w:r>
      </w:hyperlink>
    </w:p>
    <w:p w14:paraId="0BC30A30" w14:textId="77777777" w:rsidR="00362C3D" w:rsidRDefault="4ABC5565" w:rsidP="6657A744">
      <w:pPr>
        <w:numPr>
          <w:ilvl w:val="0"/>
          <w:numId w:val="26"/>
        </w:numPr>
        <w:shd w:val="clear" w:color="auto" w:fill="FFFFFF" w:themeFill="text2"/>
        <w:spacing w:before="100" w:beforeAutospacing="1" w:after="100" w:afterAutospacing="1" w:line="315" w:lineRule="atLeast"/>
        <w:ind w:left="600"/>
        <w:rPr>
          <w:rFonts w:ascii="Helvetica" w:hAnsi="Helvetica" w:cs="Helvetica"/>
          <w:color w:val="006666" w:themeColor="accent6"/>
          <w:sz w:val="18"/>
          <w:szCs w:val="18"/>
        </w:rPr>
      </w:pPr>
      <w:hyperlink r:id="rId56" w:anchor="WorshipFacility">
        <w:r w:rsidRPr="6657A744">
          <w:rPr>
            <w:rStyle w:val="Hyperlink"/>
            <w:rFonts w:ascii="Helvetica" w:hAnsi="Helvetica" w:cs="Helvetica"/>
            <w:color w:val="006666" w:themeColor="accent6"/>
            <w:sz w:val="18"/>
            <w:szCs w:val="18"/>
            <w:u w:val="none"/>
          </w:rPr>
          <w:t>Worship facility</w:t>
        </w:r>
      </w:hyperlink>
    </w:p>
    <w:p w14:paraId="546A96A6" w14:textId="77777777" w:rsidR="00332B0A" w:rsidRDefault="00332B0A" w:rsidP="00D86C99">
      <w:pPr>
        <w:sectPr w:rsidR="00332B0A" w:rsidSect="00C326AF">
          <w:headerReference w:type="default" r:id="rId57"/>
          <w:headerReference w:type="first" r:id="rId58"/>
          <w:footerReference w:type="first" r:id="rId59"/>
          <w:type w:val="continuous"/>
          <w:pgSz w:w="12240" w:h="15840"/>
          <w:pgMar w:top="1440" w:right="1440" w:bottom="1440" w:left="1440" w:header="432" w:footer="720" w:gutter="0"/>
          <w:cols w:num="2" w:space="720"/>
          <w:titlePg/>
          <w:docGrid w:linePitch="360"/>
        </w:sectPr>
      </w:pPr>
    </w:p>
    <w:p w14:paraId="18223586" w14:textId="77777777" w:rsidR="00332B0A" w:rsidRDefault="00332B0A" w:rsidP="00D86C99"/>
    <w:p w14:paraId="736C19A3" w14:textId="77777777" w:rsidR="00362C3D" w:rsidRDefault="4ABC5565" w:rsidP="6657A744">
      <w:pPr>
        <w:rPr>
          <w:color w:val="006666" w:themeColor="accent6"/>
        </w:rPr>
      </w:pPr>
      <w:r>
        <w:t xml:space="preserve">If your building type is on the list and you still </w:t>
      </w:r>
      <w:proofErr w:type="gramStart"/>
      <w:r>
        <w:t>didn’t receive</w:t>
      </w:r>
      <w:proofErr w:type="gramEnd"/>
      <w:r>
        <w:t xml:space="preserve"> a score, there may be an error in your data or submission. Contact a local PACE Business Sustainability Advisor for free assistance by calling 303-786-7223 or emailing </w:t>
      </w:r>
      <w:hyperlink r:id="rId60">
        <w:r w:rsidRPr="6657A744">
          <w:rPr>
            <w:rStyle w:val="Hyperlink"/>
            <w:rFonts w:eastAsia="Times New Roman" w:cs="Times New Roman"/>
          </w:rPr>
          <w:t>info@PACEpartners.com</w:t>
        </w:r>
      </w:hyperlink>
      <w:r>
        <w:t>.</w:t>
      </w:r>
    </w:p>
    <w:p w14:paraId="152078C1" w14:textId="77777777" w:rsidR="00292B5D" w:rsidRPr="00204C93" w:rsidRDefault="1AD774AE" w:rsidP="6657A744">
      <w:pPr>
        <w:pStyle w:val="Heading2"/>
        <w:numPr>
          <w:ilvl w:val="0"/>
          <w:numId w:val="19"/>
        </w:numPr>
        <w:rPr>
          <w:color w:val="006666" w:themeColor="accent6"/>
        </w:rPr>
      </w:pPr>
      <w:bookmarkStart w:id="33" w:name="_Toc430955089"/>
      <w:r w:rsidRPr="6657A744">
        <w:rPr>
          <w:color w:val="006666" w:themeColor="accent6"/>
        </w:rPr>
        <w:t xml:space="preserve">How are data centers </w:t>
      </w:r>
      <w:r w:rsidR="019C99EB" w:rsidRPr="6657A744">
        <w:rPr>
          <w:color w:val="006666" w:themeColor="accent6"/>
        </w:rPr>
        <w:t xml:space="preserve">scored </w:t>
      </w:r>
      <w:r w:rsidRPr="6657A744">
        <w:rPr>
          <w:color w:val="006666" w:themeColor="accent6"/>
        </w:rPr>
        <w:t xml:space="preserve">in </w:t>
      </w:r>
      <w:r w:rsidR="5605B067" w:rsidRPr="6657A744">
        <w:rPr>
          <w:color w:val="006666" w:themeColor="accent6"/>
        </w:rPr>
        <w:t xml:space="preserve">ENERYG STAR </w:t>
      </w:r>
      <w:r w:rsidRPr="6657A744">
        <w:rPr>
          <w:color w:val="006666" w:themeColor="accent6"/>
        </w:rPr>
        <w:t>Portfolio Manager?</w:t>
      </w:r>
      <w:bookmarkEnd w:id="33"/>
      <w:r w:rsidRPr="6657A744">
        <w:rPr>
          <w:color w:val="006666" w:themeColor="accent6"/>
        </w:rPr>
        <w:t xml:space="preserve"> </w:t>
      </w:r>
    </w:p>
    <w:p w14:paraId="19C54561" w14:textId="77777777" w:rsidR="00292B5D" w:rsidRDefault="1AD774AE" w:rsidP="6657A744">
      <w:pPr>
        <w:rPr>
          <w:color w:val="006666" w:themeColor="accent6"/>
        </w:rPr>
      </w:pPr>
      <w:r>
        <w:t xml:space="preserve">Portfolio Manager defines a data center as a space “specifically designed and equipped to meet the needs of </w:t>
      </w:r>
      <w:proofErr w:type="gramStart"/>
      <w:r>
        <w:t>high density</w:t>
      </w:r>
      <w:proofErr w:type="gramEnd"/>
      <w:r>
        <w:t xml:space="preserve"> computing equipment such as server racks.” You can add a data center as a property use type. To receive an </w:t>
      </w:r>
      <w:r w:rsidR="5605B067">
        <w:t>ENERGY STAR</w:t>
      </w:r>
      <w:r>
        <w:t xml:space="preserve"> score for a data center, </w:t>
      </w:r>
      <w:r w:rsidR="06064DE0">
        <w:t xml:space="preserve">IT </w:t>
      </w:r>
      <w:r>
        <w:t xml:space="preserve">energy use must be measured at the output of the uninterruptible power supply. </w:t>
      </w:r>
    </w:p>
    <w:p w14:paraId="400355BB" w14:textId="77777777" w:rsidR="00292B5D" w:rsidRPr="00204C93" w:rsidRDefault="1AD774AE" w:rsidP="6657A744">
      <w:pPr>
        <w:pStyle w:val="Heading2"/>
        <w:numPr>
          <w:ilvl w:val="0"/>
          <w:numId w:val="19"/>
        </w:numPr>
        <w:rPr>
          <w:color w:val="006666" w:themeColor="accent6"/>
        </w:rPr>
      </w:pPr>
      <w:bookmarkStart w:id="34" w:name="_Toc430955090"/>
      <w:r w:rsidRPr="6657A744">
        <w:rPr>
          <w:color w:val="006666" w:themeColor="accent6"/>
        </w:rPr>
        <w:t>Can I use data from an energy or building management system?</w:t>
      </w:r>
      <w:bookmarkEnd w:id="34"/>
      <w:r w:rsidRPr="6657A744">
        <w:rPr>
          <w:color w:val="006666" w:themeColor="accent6"/>
        </w:rPr>
        <w:t xml:space="preserve"> </w:t>
      </w:r>
    </w:p>
    <w:p w14:paraId="5AFCC950" w14:textId="77777777" w:rsidR="00292B5D" w:rsidRDefault="1AD774AE" w:rsidP="6657A744">
      <w:pPr>
        <w:rPr>
          <w:color w:val="006666" w:themeColor="accent6"/>
        </w:rPr>
      </w:pPr>
      <w:r>
        <w:t xml:space="preserve">Yes, if the system provides accurate whole-building data. Many such </w:t>
      </w:r>
      <w:r w:rsidR="019C99EB">
        <w:t>systems</w:t>
      </w:r>
      <w:r>
        <w:t xml:space="preserve"> can upload energy data directly into Portfolio Manager. You must note in “Property Notes” if you do not use utility-provided data, and an explanation of any difference. </w:t>
      </w:r>
    </w:p>
    <w:p w14:paraId="2EC3EEDC" w14:textId="77777777" w:rsidR="00292B5D" w:rsidRPr="00204C93" w:rsidRDefault="1AD774AE" w:rsidP="6657A744">
      <w:pPr>
        <w:pStyle w:val="Heading2"/>
        <w:numPr>
          <w:ilvl w:val="0"/>
          <w:numId w:val="19"/>
        </w:numPr>
        <w:rPr>
          <w:color w:val="006666" w:themeColor="accent6"/>
        </w:rPr>
      </w:pPr>
      <w:bookmarkStart w:id="35" w:name="_Toc430955091"/>
      <w:r w:rsidRPr="6657A744">
        <w:rPr>
          <w:color w:val="006666" w:themeColor="accent6"/>
        </w:rPr>
        <w:t>What if I generate electricity through on-site solar panels?</w:t>
      </w:r>
      <w:bookmarkEnd w:id="35"/>
      <w:r w:rsidRPr="6657A744">
        <w:rPr>
          <w:color w:val="006666" w:themeColor="accent6"/>
        </w:rPr>
        <w:t xml:space="preserve"> </w:t>
      </w:r>
    </w:p>
    <w:p w14:paraId="2DAF3DDF" w14:textId="77777777" w:rsidR="00C85610" w:rsidRDefault="00C85610" w:rsidP="00D86C99">
      <w:r>
        <w:t xml:space="preserve">Onsite green power is not subject to traditional generation, transmission, and distribution losses. </w:t>
      </w:r>
      <w:proofErr w:type="gramStart"/>
      <w:r>
        <w:t>As long as</w:t>
      </w:r>
      <w:proofErr w:type="gramEnd"/>
      <w:r>
        <w:t xml:space="preserve"> you retain the</w:t>
      </w:r>
      <w:r w:rsidR="00FC1101">
        <w:t xml:space="preserve"> Renewable Energy Credits</w:t>
      </w:r>
      <w:r>
        <w:t xml:space="preserve"> </w:t>
      </w:r>
      <w:r w:rsidR="00FC1101">
        <w:t>(</w:t>
      </w:r>
      <w:r>
        <w:t>RECs</w:t>
      </w:r>
      <w:r w:rsidR="00FC1101">
        <w:t>)</w:t>
      </w:r>
      <w:r>
        <w:t xml:space="preserve">, this benefit is reflected in the ENERGY STAR score and Source EUI by assigning onsite electricity a source conversion factor of 1.0 rather than the 3.34 value that is used for </w:t>
      </w:r>
      <w:proofErr w:type="gramStart"/>
      <w:r>
        <w:t>grid</w:t>
      </w:r>
      <w:r w:rsidR="00315FC7">
        <w:t>-</w:t>
      </w:r>
      <w:r>
        <w:softHyphen/>
      </w:r>
      <w:proofErr w:type="gramEnd"/>
      <w:r>
        <w:t xml:space="preserve">sourced electricity. As such, a property with onsite solar or wind power is likely to receive a higher score. The electricity </w:t>
      </w:r>
      <w:proofErr w:type="gramStart"/>
      <w:r>
        <w:t>use</w:t>
      </w:r>
      <w:proofErr w:type="gramEnd"/>
      <w:r>
        <w:t xml:space="preserve"> from onsite solar and wind must be reported and included in your total energy consumption and ENERGY STAR score calculation. The use of onsite renewable electricity is part of your overall site energy consumption (i.e. the energy requirement of your property). </w:t>
      </w:r>
    </w:p>
    <w:p w14:paraId="36E56695" w14:textId="7C988F84" w:rsidR="00220BDB" w:rsidRDefault="10667233" w:rsidP="6657A744">
      <w:pPr>
        <w:rPr>
          <w:color w:val="006666" w:themeColor="accent6"/>
        </w:rPr>
      </w:pPr>
      <w:r>
        <w:t>You can enter this into Portfolio Manager when setting up your meters. Obtain data from your installer on the energy used, any energy exported out to the grid, and about any renewable energy certificates generated. If you report your renewable energy generation and use accurately, it will be reflected in your building’s greenhouse gas emissions.</w:t>
      </w:r>
      <w:r w:rsidR="6492901F">
        <w:t xml:space="preserve"> For additional details on green power, </w:t>
      </w:r>
      <w:hyperlink r:id="rId61" w:history="1">
        <w:r w:rsidR="6492901F" w:rsidRPr="6657A744">
          <w:rPr>
            <w:rStyle w:val="Hyperlink"/>
          </w:rPr>
          <w:t>see this document</w:t>
        </w:r>
      </w:hyperlink>
      <w:r w:rsidR="6492901F">
        <w:t xml:space="preserve">. </w:t>
      </w:r>
    </w:p>
    <w:p w14:paraId="199D426A" w14:textId="77777777" w:rsidR="00332B0A" w:rsidRPr="00332B0A" w:rsidRDefault="17FC2A47" w:rsidP="6657A744">
      <w:pPr>
        <w:pStyle w:val="Heading2"/>
        <w:numPr>
          <w:ilvl w:val="0"/>
          <w:numId w:val="19"/>
        </w:numPr>
        <w:rPr>
          <w:color w:val="006666" w:themeColor="accent6"/>
        </w:rPr>
      </w:pPr>
      <w:bookmarkStart w:id="36" w:name="_Toc430955092"/>
      <w:r w:rsidRPr="6657A744">
        <w:rPr>
          <w:color w:val="006666" w:themeColor="accent6"/>
        </w:rPr>
        <w:t> I have a cell tower that is responsible for some of the energy use at my building. How do I report it? </w:t>
      </w:r>
    </w:p>
    <w:p w14:paraId="41099FA5" w14:textId="77777777" w:rsidR="00332B0A" w:rsidRDefault="17FC2A47" w:rsidP="6657A744">
      <w:pPr>
        <w:pStyle w:val="Heading2"/>
        <w:rPr>
          <w:color w:val="006666" w:themeColor="accent6"/>
        </w:rPr>
      </w:pPr>
      <w:r w:rsidRPr="6657A744">
        <w:rPr>
          <w:rFonts w:asciiTheme="minorHAnsi" w:eastAsiaTheme="minorEastAsia" w:hAnsiTheme="minorHAnsi" w:cstheme="minorBidi"/>
          <w:color w:val="auto"/>
          <w:sz w:val="22"/>
          <w:szCs w:val="22"/>
        </w:rPr>
        <w:t>If the cell tower is sub-metered, you can exclude it from your property's energy use in Portfolio Manager. Simply exclude that meter if you are entering data manually. If you are using Xcel's benchmarking portal to automatically upload whole-building energy consumption, work with Xcel during the set-up to ensure the cell tower sub-meter is excluded from the whole-building data upload.</w:t>
      </w:r>
    </w:p>
    <w:p w14:paraId="293E4D31" w14:textId="77777777" w:rsidR="00292B5D" w:rsidRPr="00204C93" w:rsidRDefault="1AD774AE" w:rsidP="6657A744">
      <w:pPr>
        <w:pStyle w:val="Heading2"/>
        <w:numPr>
          <w:ilvl w:val="0"/>
          <w:numId w:val="19"/>
        </w:numPr>
        <w:rPr>
          <w:color w:val="006666" w:themeColor="accent6"/>
        </w:rPr>
      </w:pPr>
      <w:r w:rsidRPr="6657A744">
        <w:rPr>
          <w:color w:val="006666" w:themeColor="accent6"/>
        </w:rPr>
        <w:t>What if the building is under construction or newly built?</w:t>
      </w:r>
      <w:bookmarkEnd w:id="36"/>
      <w:r w:rsidRPr="6657A744">
        <w:rPr>
          <w:color w:val="006666" w:themeColor="accent6"/>
        </w:rPr>
        <w:t xml:space="preserve"> </w:t>
      </w:r>
    </w:p>
    <w:p w14:paraId="562418E1" w14:textId="77777777" w:rsidR="00292B5D" w:rsidRDefault="1AD774AE" w:rsidP="6657A744">
      <w:pPr>
        <w:rPr>
          <w:color w:val="006666" w:themeColor="accent6"/>
        </w:rPr>
      </w:pPr>
      <w:r>
        <w:t xml:space="preserve">A newly constructed building, if it meets the threshold for being </w:t>
      </w:r>
      <w:r w:rsidR="611C6179">
        <w:t>affected</w:t>
      </w:r>
      <w:r>
        <w:t xml:space="preserve"> by this ordinance, is required to report its energy use for the first full calendar year after receiving a Certificate of Occupancy.</w:t>
      </w:r>
    </w:p>
    <w:p w14:paraId="41DB65E7" w14:textId="77777777" w:rsidR="00292B5D" w:rsidRPr="00204C93" w:rsidRDefault="1AD774AE" w:rsidP="6657A744">
      <w:pPr>
        <w:pStyle w:val="Heading2"/>
        <w:numPr>
          <w:ilvl w:val="0"/>
          <w:numId w:val="19"/>
        </w:numPr>
        <w:rPr>
          <w:color w:val="006666" w:themeColor="accent6"/>
        </w:rPr>
      </w:pPr>
      <w:bookmarkStart w:id="37" w:name="_Toc430955093"/>
      <w:r w:rsidRPr="6657A744">
        <w:rPr>
          <w:color w:val="006666" w:themeColor="accent6"/>
        </w:rPr>
        <w:lastRenderedPageBreak/>
        <w:t>What if I purchased the building in the past year?</w:t>
      </w:r>
      <w:bookmarkEnd w:id="37"/>
      <w:r w:rsidRPr="6657A744">
        <w:rPr>
          <w:color w:val="006666" w:themeColor="accent6"/>
        </w:rPr>
        <w:t xml:space="preserve"> </w:t>
      </w:r>
    </w:p>
    <w:p w14:paraId="18E1138E" w14:textId="77777777" w:rsidR="00292B5D" w:rsidRPr="00D86C99" w:rsidRDefault="1AD774AE" w:rsidP="6657A744">
      <w:pPr>
        <w:rPr>
          <w:color w:val="006666" w:themeColor="accent6"/>
        </w:rPr>
      </w:pPr>
      <w:r>
        <w:t>Buildings that have transferred ownership are not exempt from reporting requirements. The reporting regulations require the seller to transfer to the new owner any information that has been collected for completing the energy report</w:t>
      </w:r>
      <w:r w:rsidR="6492901F">
        <w:t>.</w:t>
      </w:r>
    </w:p>
    <w:p w14:paraId="0DB7F0C0" w14:textId="77777777" w:rsidR="00103A07" w:rsidRPr="00204C93" w:rsidRDefault="22BE46AB" w:rsidP="6657A744">
      <w:pPr>
        <w:pStyle w:val="Heading2"/>
        <w:numPr>
          <w:ilvl w:val="0"/>
          <w:numId w:val="19"/>
        </w:numPr>
        <w:rPr>
          <w:color w:val="006666" w:themeColor="accent6"/>
        </w:rPr>
      </w:pPr>
      <w:bookmarkStart w:id="38" w:name="_Toc430955094"/>
      <w:r w:rsidRPr="6657A744">
        <w:rPr>
          <w:color w:val="006666" w:themeColor="accent6"/>
        </w:rPr>
        <w:t>What can I do to make my building more efficient?</w:t>
      </w:r>
      <w:bookmarkEnd w:id="38"/>
    </w:p>
    <w:p w14:paraId="649BB822" w14:textId="77777777" w:rsidR="00D459CA" w:rsidRDefault="00D459CA" w:rsidP="00D459CA">
      <w:r>
        <w:t xml:space="preserve">ENERGY STAR offers a wealth of resources to improve building efficiency including </w:t>
      </w:r>
      <w:hyperlink r:id="rId62" w:history="1">
        <w:r w:rsidRPr="005D0AC7">
          <w:rPr>
            <w:rStyle w:val="Hyperlink"/>
          </w:rPr>
          <w:t>financial calculators</w:t>
        </w:r>
      </w:hyperlink>
      <w:r>
        <w:t xml:space="preserve"> to evaluate energy efficiency measures, the </w:t>
      </w:r>
      <w:hyperlink r:id="rId63" w:history="1">
        <w:r w:rsidRPr="005D0AC7">
          <w:rPr>
            <w:rStyle w:val="Hyperlink"/>
          </w:rPr>
          <w:t>Guidelines for Strategic Energy Management</w:t>
        </w:r>
      </w:hyperlink>
      <w:r>
        <w:t xml:space="preserve">, and </w:t>
      </w:r>
      <w:hyperlink r:id="rId64" w:history="1">
        <w:r w:rsidRPr="005D0AC7">
          <w:rPr>
            <w:rStyle w:val="Hyperlink"/>
          </w:rPr>
          <w:t>the Building Upgrade Manual</w:t>
        </w:r>
      </w:hyperlink>
      <w:r>
        <w:t xml:space="preserve">. </w:t>
      </w:r>
    </w:p>
    <w:p w14:paraId="44F3EE02" w14:textId="77777777" w:rsidR="002F3220" w:rsidRPr="00FC6711" w:rsidRDefault="00661ABE" w:rsidP="002F3220">
      <w:r w:rsidRPr="00661ABE">
        <w:t xml:space="preserve">Partners for a Clean Environment (PACE) provides free expert advisor services, financial incentives and a certification program to help businesses measure and gain recognition for their energy, waste, water, and transportation achievements. </w:t>
      </w:r>
      <w:r w:rsidRPr="00FC6711">
        <w:t>For free assistance</w:t>
      </w:r>
      <w:r>
        <w:t xml:space="preserve">, </w:t>
      </w:r>
      <w:r w:rsidRPr="00FC6711">
        <w:t>contact a PACE Business Sustainability Advisor* at 303-786-7223</w:t>
      </w:r>
      <w:r>
        <w:t xml:space="preserve"> </w:t>
      </w:r>
      <w:r w:rsidRPr="00FC6711">
        <w:t xml:space="preserve">or </w:t>
      </w:r>
      <w:hyperlink r:id="rId65" w:history="1">
        <w:r w:rsidRPr="005B7340">
          <w:rPr>
            <w:rStyle w:val="Hyperlink"/>
            <w:rFonts w:eastAsia="Times New Roman" w:cs="Times New Roman"/>
            <w:szCs w:val="24"/>
          </w:rPr>
          <w:t>info@PACEpartners.com</w:t>
        </w:r>
      </w:hyperlink>
      <w:r w:rsidRPr="00FC6711">
        <w:t>.</w:t>
      </w:r>
      <w:r w:rsidR="002F3220">
        <w:t xml:space="preserve"> </w:t>
      </w:r>
    </w:p>
    <w:p w14:paraId="5CFE8DA7" w14:textId="77777777" w:rsidR="00661ABE" w:rsidRPr="00D55E2F" w:rsidRDefault="00661ABE" w:rsidP="00661ABE">
      <w:pPr>
        <w:rPr>
          <w:i/>
          <w:sz w:val="20"/>
        </w:rPr>
      </w:pPr>
      <w:r w:rsidRPr="00D55E2F">
        <w:rPr>
          <w:i/>
          <w:sz w:val="20"/>
        </w:rPr>
        <w:t xml:space="preserve">*Provided by Boulder County and the City of </w:t>
      </w:r>
      <w:r w:rsidRPr="00543646">
        <w:rPr>
          <w:i/>
          <w:sz w:val="20"/>
          <w:szCs w:val="20"/>
        </w:rPr>
        <w:t>Boulder </w:t>
      </w:r>
      <w:r w:rsidR="00543646" w:rsidRPr="00543646">
        <w:rPr>
          <w:i/>
          <w:iCs/>
          <w:sz w:val="20"/>
          <w:szCs w:val="20"/>
        </w:rPr>
        <w:t>Climate Action Plan</w:t>
      </w:r>
      <w:r w:rsidRPr="00543646">
        <w:rPr>
          <w:i/>
          <w:iCs/>
          <w:sz w:val="20"/>
          <w:szCs w:val="20"/>
        </w:rPr>
        <w:t xml:space="preserve"> (CAP) </w:t>
      </w:r>
      <w:r w:rsidRPr="00543646">
        <w:rPr>
          <w:i/>
          <w:sz w:val="20"/>
          <w:szCs w:val="20"/>
        </w:rPr>
        <w:t>tax dollars</w:t>
      </w:r>
      <w:r w:rsidRPr="00D55E2F">
        <w:rPr>
          <w:i/>
          <w:sz w:val="20"/>
        </w:rPr>
        <w:t xml:space="preserve"> supporting businesses and building owners in achieving their energy efficiency goals.</w:t>
      </w:r>
    </w:p>
    <w:p w14:paraId="2C8D3216" w14:textId="77777777" w:rsidR="00EC52CE" w:rsidRDefault="00EC52CE" w:rsidP="00103A07">
      <w:pPr>
        <w:rPr>
          <w:b/>
        </w:rPr>
      </w:pPr>
    </w:p>
    <w:p w14:paraId="3FC7377B" w14:textId="77777777" w:rsidR="00B83480" w:rsidRPr="0052600D" w:rsidRDefault="00B83480" w:rsidP="00436CB3">
      <w:pPr>
        <w:spacing w:beforeLines="40" w:before="96" w:afterLines="60" w:after="144" w:line="276" w:lineRule="auto"/>
        <w:rPr>
          <w:b/>
        </w:rPr>
      </w:pPr>
      <w:r w:rsidRPr="00B83480">
        <w:rPr>
          <w:b/>
        </w:rPr>
        <w:t xml:space="preserve">Not finding your question? </w:t>
      </w:r>
      <w:r w:rsidRPr="005B569A">
        <w:t xml:space="preserve">Visit </w:t>
      </w:r>
      <w:r w:rsidR="00BC5C9E">
        <w:t>ENERGY STAR</w:t>
      </w:r>
      <w:r w:rsidRPr="005B569A">
        <w:t xml:space="preserve"> FAQs </w:t>
      </w:r>
      <w:hyperlink r:id="rId66" w:history="1">
        <w:r w:rsidRPr="005B569A">
          <w:rPr>
            <w:rStyle w:val="Hyperlink"/>
          </w:rPr>
          <w:t>here</w:t>
        </w:r>
      </w:hyperlink>
      <w:r w:rsidR="005B569A" w:rsidRPr="005B569A">
        <w:t xml:space="preserve"> or contact</w:t>
      </w:r>
      <w:r w:rsidR="00436CB3">
        <w:t xml:space="preserve"> </w:t>
      </w:r>
      <w:r w:rsidR="00436CB3" w:rsidRPr="00436CB3">
        <w:t>the</w:t>
      </w:r>
      <w:r w:rsidR="005B569A" w:rsidRPr="00436CB3">
        <w:t xml:space="preserve"> </w:t>
      </w:r>
      <w:r w:rsidR="00436CB3" w:rsidRPr="00436CB3">
        <w:t xml:space="preserve">Boulder Building Performance Help Desk at </w:t>
      </w:r>
      <w:r w:rsidR="00436CB3" w:rsidRPr="00436CB3">
        <w:rPr>
          <w:rFonts w:eastAsia="Times New Roman" w:cstheme="minorHAnsi"/>
          <w:color w:val="000000"/>
        </w:rPr>
        <w:t xml:space="preserve">(844) 536-4528 or </w:t>
      </w:r>
      <w:hyperlink r:id="rId67" w:history="1">
        <w:r w:rsidR="00436CB3" w:rsidRPr="00436CB3">
          <w:rPr>
            <w:rStyle w:val="Hyperlink"/>
            <w:rFonts w:eastAsia="Times New Roman" w:cstheme="minorHAnsi"/>
          </w:rPr>
          <w:t>BPOHelpdesk@bouldercolorado.gov</w:t>
        </w:r>
      </w:hyperlink>
      <w:r w:rsidR="00436CB3" w:rsidRPr="00436CB3">
        <w:t xml:space="preserve">. </w:t>
      </w:r>
      <w:r w:rsidR="0052600D" w:rsidRPr="00436CB3">
        <w:t>Questions on Xcel Energy’s Benchmarking</w:t>
      </w:r>
      <w:r w:rsidR="0052600D">
        <w:t xml:space="preserve"> Portal? Email</w:t>
      </w:r>
      <w:r w:rsidR="0052600D" w:rsidRPr="0052600D">
        <w:t xml:space="preserve"> </w:t>
      </w:r>
      <w:hyperlink r:id="rId68" w:history="1">
        <w:r w:rsidR="0052600D">
          <w:rPr>
            <w:rStyle w:val="Hyperlink"/>
          </w:rPr>
          <w:t>benchmarking@xcelenergy.com</w:t>
        </w:r>
      </w:hyperlink>
      <w:r w:rsidR="0052600D">
        <w:t>.</w:t>
      </w:r>
    </w:p>
    <w:sectPr w:rsidR="00B83480" w:rsidRPr="0052600D" w:rsidSect="00C326AF">
      <w:headerReference w:type="default" r:id="rId69"/>
      <w:headerReference w:type="first" r:id="rId70"/>
      <w:footerReference w:type="first" r:id="rId71"/>
      <w:type w:val="continuous"/>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4353" w14:textId="77777777" w:rsidR="00B71BFF" w:rsidRDefault="00B71BFF" w:rsidP="00105A96">
      <w:pPr>
        <w:spacing w:after="0" w:line="240" w:lineRule="auto"/>
      </w:pPr>
      <w:r>
        <w:separator/>
      </w:r>
    </w:p>
  </w:endnote>
  <w:endnote w:type="continuationSeparator" w:id="0">
    <w:p w14:paraId="207318A7" w14:textId="77777777" w:rsidR="00B71BFF" w:rsidRDefault="00B71BFF" w:rsidP="00105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1D1AD" w14:textId="04AD8C0F" w:rsidR="6657A744" w:rsidRDefault="6657A744" w:rsidP="6657A744">
    <w:pPr>
      <w:pStyle w:val="Footer"/>
      <w:jc w:val="right"/>
    </w:pPr>
    <w:r>
      <w:fldChar w:fldCharType="begin"/>
    </w:r>
    <w:r>
      <w:instrText>PAGE</w:instrText>
    </w:r>
    <w:r>
      <w:fldChar w:fldCharType="separate"/>
    </w:r>
    <w:r w:rsidR="00506F63">
      <w:rPr>
        <w:noProof/>
      </w:rPr>
      <w:t>2</w:t>
    </w:r>
    <w:r>
      <w:fldChar w:fldCharType="end"/>
    </w:r>
  </w:p>
  <w:p w14:paraId="1C614147" w14:textId="77777777" w:rsidR="008062E9" w:rsidRDefault="00806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042CC2" w14:paraId="12832CED" w14:textId="77777777" w:rsidTr="13042CC2">
      <w:trPr>
        <w:trHeight w:val="300"/>
      </w:trPr>
      <w:tc>
        <w:tcPr>
          <w:tcW w:w="3120" w:type="dxa"/>
        </w:tcPr>
        <w:p w14:paraId="267F8CBD" w14:textId="76BCCF84" w:rsidR="13042CC2" w:rsidRDefault="13042CC2" w:rsidP="13042CC2">
          <w:pPr>
            <w:pStyle w:val="Header"/>
            <w:ind w:left="-115"/>
          </w:pPr>
        </w:p>
      </w:tc>
      <w:tc>
        <w:tcPr>
          <w:tcW w:w="3120" w:type="dxa"/>
        </w:tcPr>
        <w:p w14:paraId="710C68AF" w14:textId="7FA99FBD" w:rsidR="13042CC2" w:rsidRDefault="13042CC2" w:rsidP="13042CC2">
          <w:pPr>
            <w:pStyle w:val="Header"/>
            <w:jc w:val="center"/>
          </w:pPr>
        </w:p>
      </w:tc>
      <w:tc>
        <w:tcPr>
          <w:tcW w:w="3120" w:type="dxa"/>
        </w:tcPr>
        <w:p w14:paraId="599EF5DE" w14:textId="32C0CF4E" w:rsidR="13042CC2" w:rsidRDefault="13042CC2" w:rsidP="13042CC2">
          <w:pPr>
            <w:pStyle w:val="Header"/>
            <w:ind w:right="-115"/>
            <w:jc w:val="right"/>
          </w:pPr>
        </w:p>
      </w:tc>
    </w:tr>
  </w:tbl>
  <w:p w14:paraId="03739D1C" w14:textId="71B6639D" w:rsidR="13042CC2" w:rsidRDefault="13042CC2" w:rsidP="13042C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13042CC2" w14:paraId="7F38E310" w14:textId="77777777" w:rsidTr="13042CC2">
      <w:trPr>
        <w:trHeight w:val="300"/>
      </w:trPr>
      <w:tc>
        <w:tcPr>
          <w:tcW w:w="1440" w:type="dxa"/>
        </w:tcPr>
        <w:p w14:paraId="3393F35D" w14:textId="514E3F3C" w:rsidR="13042CC2" w:rsidRDefault="13042CC2" w:rsidP="13042CC2">
          <w:pPr>
            <w:pStyle w:val="Header"/>
            <w:ind w:left="-115"/>
          </w:pPr>
        </w:p>
      </w:tc>
      <w:tc>
        <w:tcPr>
          <w:tcW w:w="1440" w:type="dxa"/>
        </w:tcPr>
        <w:p w14:paraId="2F9C15EE" w14:textId="42928ACA" w:rsidR="13042CC2" w:rsidRDefault="13042CC2" w:rsidP="13042CC2">
          <w:pPr>
            <w:pStyle w:val="Header"/>
            <w:jc w:val="center"/>
          </w:pPr>
        </w:p>
      </w:tc>
      <w:tc>
        <w:tcPr>
          <w:tcW w:w="1440" w:type="dxa"/>
        </w:tcPr>
        <w:p w14:paraId="6A4163E2" w14:textId="7C00149F" w:rsidR="13042CC2" w:rsidRDefault="13042CC2" w:rsidP="13042CC2">
          <w:pPr>
            <w:pStyle w:val="Header"/>
            <w:ind w:right="-115"/>
            <w:jc w:val="right"/>
          </w:pPr>
        </w:p>
      </w:tc>
    </w:tr>
  </w:tbl>
  <w:p w14:paraId="4361A516" w14:textId="66B37723" w:rsidR="13042CC2" w:rsidRDefault="13042CC2" w:rsidP="13042C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3042CC2" w14:paraId="6C6DEA9F" w14:textId="77777777" w:rsidTr="13042CC2">
      <w:trPr>
        <w:trHeight w:val="300"/>
      </w:trPr>
      <w:tc>
        <w:tcPr>
          <w:tcW w:w="3120" w:type="dxa"/>
        </w:tcPr>
        <w:p w14:paraId="4D14C372" w14:textId="1EB0D280" w:rsidR="13042CC2" w:rsidRDefault="13042CC2" w:rsidP="13042CC2">
          <w:pPr>
            <w:pStyle w:val="Header"/>
            <w:ind w:left="-115"/>
          </w:pPr>
        </w:p>
      </w:tc>
      <w:tc>
        <w:tcPr>
          <w:tcW w:w="3120" w:type="dxa"/>
        </w:tcPr>
        <w:p w14:paraId="7398EC0B" w14:textId="56B4DD9B" w:rsidR="13042CC2" w:rsidRDefault="13042CC2" w:rsidP="13042CC2">
          <w:pPr>
            <w:pStyle w:val="Header"/>
            <w:jc w:val="center"/>
          </w:pPr>
        </w:p>
      </w:tc>
      <w:tc>
        <w:tcPr>
          <w:tcW w:w="3120" w:type="dxa"/>
        </w:tcPr>
        <w:p w14:paraId="35C798B8" w14:textId="34A49774" w:rsidR="13042CC2" w:rsidRDefault="13042CC2" w:rsidP="13042CC2">
          <w:pPr>
            <w:pStyle w:val="Header"/>
            <w:ind w:right="-115"/>
            <w:jc w:val="right"/>
          </w:pPr>
        </w:p>
      </w:tc>
    </w:tr>
  </w:tbl>
  <w:p w14:paraId="231548CA" w14:textId="289D7FF3" w:rsidR="13042CC2" w:rsidRDefault="13042CC2" w:rsidP="13042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E7E2" w14:textId="77777777" w:rsidR="00B71BFF" w:rsidRDefault="00B71BFF" w:rsidP="00105A96">
      <w:pPr>
        <w:spacing w:after="0" w:line="240" w:lineRule="auto"/>
      </w:pPr>
      <w:r>
        <w:separator/>
      </w:r>
    </w:p>
  </w:footnote>
  <w:footnote w:type="continuationSeparator" w:id="0">
    <w:p w14:paraId="4F702893" w14:textId="77777777" w:rsidR="00B71BFF" w:rsidRDefault="00B71BFF" w:rsidP="00105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7A744" w14:paraId="7129E19C" w14:textId="77777777" w:rsidTr="6657A744">
      <w:trPr>
        <w:trHeight w:val="300"/>
      </w:trPr>
      <w:tc>
        <w:tcPr>
          <w:tcW w:w="3120" w:type="dxa"/>
        </w:tcPr>
        <w:p w14:paraId="77D8DA92" w14:textId="382FF17E" w:rsidR="6657A744" w:rsidRDefault="6657A744" w:rsidP="6657A744">
          <w:pPr>
            <w:pStyle w:val="Header"/>
            <w:ind w:left="-115"/>
          </w:pPr>
        </w:p>
      </w:tc>
      <w:tc>
        <w:tcPr>
          <w:tcW w:w="3120" w:type="dxa"/>
        </w:tcPr>
        <w:p w14:paraId="3D862744" w14:textId="1478021D" w:rsidR="6657A744" w:rsidRDefault="6657A744" w:rsidP="6657A744">
          <w:pPr>
            <w:pStyle w:val="Header"/>
            <w:jc w:val="center"/>
          </w:pPr>
        </w:p>
      </w:tc>
      <w:tc>
        <w:tcPr>
          <w:tcW w:w="3120" w:type="dxa"/>
        </w:tcPr>
        <w:p w14:paraId="3949C8F2" w14:textId="55A4A572" w:rsidR="6657A744" w:rsidRDefault="6657A744" w:rsidP="6657A744">
          <w:pPr>
            <w:pStyle w:val="Header"/>
            <w:ind w:right="-115"/>
            <w:jc w:val="right"/>
          </w:pPr>
        </w:p>
      </w:tc>
    </w:tr>
  </w:tbl>
  <w:p w14:paraId="3C4F26B6" w14:textId="78557CEE" w:rsidR="6657A744" w:rsidRDefault="6657A744" w:rsidP="6657A7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7A744" w14:paraId="3BB13B82" w14:textId="77777777" w:rsidTr="6657A744">
      <w:trPr>
        <w:trHeight w:val="300"/>
      </w:trPr>
      <w:tc>
        <w:tcPr>
          <w:tcW w:w="3120" w:type="dxa"/>
        </w:tcPr>
        <w:p w14:paraId="7FD93E8E" w14:textId="6ED56A55" w:rsidR="6657A744" w:rsidRDefault="6657A744" w:rsidP="6657A744">
          <w:pPr>
            <w:pStyle w:val="Header"/>
            <w:ind w:left="-115"/>
          </w:pPr>
        </w:p>
      </w:tc>
      <w:tc>
        <w:tcPr>
          <w:tcW w:w="3120" w:type="dxa"/>
        </w:tcPr>
        <w:p w14:paraId="30186EBA" w14:textId="32122D00" w:rsidR="6657A744" w:rsidRDefault="6657A744" w:rsidP="6657A744">
          <w:pPr>
            <w:pStyle w:val="Header"/>
            <w:jc w:val="center"/>
          </w:pPr>
        </w:p>
      </w:tc>
      <w:tc>
        <w:tcPr>
          <w:tcW w:w="3120" w:type="dxa"/>
        </w:tcPr>
        <w:p w14:paraId="16AE4C69" w14:textId="6BCFCADB" w:rsidR="6657A744" w:rsidRDefault="6657A744" w:rsidP="6657A744">
          <w:pPr>
            <w:pStyle w:val="Header"/>
            <w:ind w:right="-115"/>
            <w:jc w:val="right"/>
          </w:pPr>
        </w:p>
      </w:tc>
    </w:tr>
  </w:tbl>
  <w:p w14:paraId="7ECAD073" w14:textId="11254686" w:rsidR="6657A744" w:rsidRDefault="6657A744" w:rsidP="6657A7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7A744" w14:paraId="5C2A2ECB" w14:textId="77777777" w:rsidTr="6657A744">
      <w:trPr>
        <w:trHeight w:val="300"/>
      </w:trPr>
      <w:tc>
        <w:tcPr>
          <w:tcW w:w="3120" w:type="dxa"/>
        </w:tcPr>
        <w:p w14:paraId="2CD8AAB1" w14:textId="3B762197" w:rsidR="6657A744" w:rsidRDefault="6657A744" w:rsidP="6657A744">
          <w:pPr>
            <w:pStyle w:val="Header"/>
            <w:ind w:left="-115"/>
          </w:pPr>
        </w:p>
      </w:tc>
      <w:tc>
        <w:tcPr>
          <w:tcW w:w="3120" w:type="dxa"/>
        </w:tcPr>
        <w:p w14:paraId="1DF9101B" w14:textId="5432E1C5" w:rsidR="6657A744" w:rsidRDefault="6657A744" w:rsidP="6657A744">
          <w:pPr>
            <w:pStyle w:val="Header"/>
            <w:jc w:val="center"/>
          </w:pPr>
        </w:p>
      </w:tc>
      <w:tc>
        <w:tcPr>
          <w:tcW w:w="3120" w:type="dxa"/>
        </w:tcPr>
        <w:p w14:paraId="1EFB7794" w14:textId="59E7D188" w:rsidR="6657A744" w:rsidRDefault="6657A744" w:rsidP="6657A744">
          <w:pPr>
            <w:pStyle w:val="Header"/>
            <w:ind w:right="-115"/>
            <w:jc w:val="right"/>
          </w:pPr>
        </w:p>
      </w:tc>
    </w:tr>
  </w:tbl>
  <w:p w14:paraId="6903B197" w14:textId="46E6C2A9" w:rsidR="6657A744" w:rsidRDefault="6657A744" w:rsidP="6657A7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7A744" w14:paraId="62FE418A" w14:textId="77777777" w:rsidTr="6657A744">
      <w:trPr>
        <w:trHeight w:val="300"/>
      </w:trPr>
      <w:tc>
        <w:tcPr>
          <w:tcW w:w="3120" w:type="dxa"/>
        </w:tcPr>
        <w:p w14:paraId="2D7EE35D" w14:textId="0DB2ED85" w:rsidR="6657A744" w:rsidRDefault="6657A744" w:rsidP="6657A744">
          <w:pPr>
            <w:pStyle w:val="Header"/>
            <w:ind w:left="-115"/>
          </w:pPr>
        </w:p>
      </w:tc>
      <w:tc>
        <w:tcPr>
          <w:tcW w:w="3120" w:type="dxa"/>
        </w:tcPr>
        <w:p w14:paraId="19F8CF52" w14:textId="33C5992E" w:rsidR="6657A744" w:rsidRDefault="6657A744" w:rsidP="6657A744">
          <w:pPr>
            <w:pStyle w:val="Header"/>
            <w:jc w:val="center"/>
          </w:pPr>
        </w:p>
      </w:tc>
      <w:tc>
        <w:tcPr>
          <w:tcW w:w="3120" w:type="dxa"/>
        </w:tcPr>
        <w:p w14:paraId="4E6C94CE" w14:textId="051870A4" w:rsidR="6657A744" w:rsidRDefault="6657A744" w:rsidP="6657A744">
          <w:pPr>
            <w:pStyle w:val="Header"/>
            <w:ind w:right="-115"/>
            <w:jc w:val="right"/>
          </w:pPr>
        </w:p>
      </w:tc>
    </w:tr>
  </w:tbl>
  <w:p w14:paraId="4A5EE322" w14:textId="3CBD8751" w:rsidR="6657A744" w:rsidRDefault="6657A744" w:rsidP="6657A7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7A744" w14:paraId="68CC7784" w14:textId="77777777" w:rsidTr="6657A744">
      <w:trPr>
        <w:trHeight w:val="300"/>
      </w:trPr>
      <w:tc>
        <w:tcPr>
          <w:tcW w:w="3120" w:type="dxa"/>
        </w:tcPr>
        <w:p w14:paraId="3A05081B" w14:textId="18749407" w:rsidR="6657A744" w:rsidRDefault="6657A744" w:rsidP="6657A744">
          <w:pPr>
            <w:pStyle w:val="Header"/>
            <w:ind w:left="-115"/>
          </w:pPr>
        </w:p>
      </w:tc>
      <w:tc>
        <w:tcPr>
          <w:tcW w:w="3120" w:type="dxa"/>
        </w:tcPr>
        <w:p w14:paraId="496C897F" w14:textId="3A26763B" w:rsidR="6657A744" w:rsidRDefault="6657A744" w:rsidP="6657A744">
          <w:pPr>
            <w:pStyle w:val="Header"/>
            <w:jc w:val="center"/>
          </w:pPr>
        </w:p>
      </w:tc>
      <w:tc>
        <w:tcPr>
          <w:tcW w:w="3120" w:type="dxa"/>
        </w:tcPr>
        <w:p w14:paraId="23EB3297" w14:textId="19AF97D2" w:rsidR="6657A744" w:rsidRDefault="6657A744" w:rsidP="6657A744">
          <w:pPr>
            <w:pStyle w:val="Header"/>
            <w:ind w:right="-115"/>
            <w:jc w:val="right"/>
          </w:pPr>
        </w:p>
      </w:tc>
    </w:tr>
  </w:tbl>
  <w:p w14:paraId="4F613E99" w14:textId="6DAE5571" w:rsidR="6657A744" w:rsidRDefault="6657A744" w:rsidP="6657A7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57A744" w14:paraId="74E69EAB" w14:textId="77777777" w:rsidTr="6657A744">
      <w:trPr>
        <w:trHeight w:val="300"/>
      </w:trPr>
      <w:tc>
        <w:tcPr>
          <w:tcW w:w="3120" w:type="dxa"/>
        </w:tcPr>
        <w:p w14:paraId="3A8E3005" w14:textId="7F636362" w:rsidR="6657A744" w:rsidRDefault="6657A744" w:rsidP="6657A744">
          <w:pPr>
            <w:pStyle w:val="Header"/>
            <w:ind w:left="-115"/>
          </w:pPr>
        </w:p>
      </w:tc>
      <w:tc>
        <w:tcPr>
          <w:tcW w:w="3120" w:type="dxa"/>
        </w:tcPr>
        <w:p w14:paraId="0F7E058B" w14:textId="1DFB2D50" w:rsidR="6657A744" w:rsidRDefault="6657A744" w:rsidP="6657A744">
          <w:pPr>
            <w:pStyle w:val="Header"/>
            <w:jc w:val="center"/>
          </w:pPr>
        </w:p>
      </w:tc>
      <w:tc>
        <w:tcPr>
          <w:tcW w:w="3120" w:type="dxa"/>
        </w:tcPr>
        <w:p w14:paraId="1E4AC012" w14:textId="024F652F" w:rsidR="6657A744" w:rsidRDefault="6657A744" w:rsidP="6657A744">
          <w:pPr>
            <w:pStyle w:val="Header"/>
            <w:ind w:right="-115"/>
            <w:jc w:val="right"/>
          </w:pPr>
        </w:p>
      </w:tc>
    </w:tr>
  </w:tbl>
  <w:p w14:paraId="373EFD3E" w14:textId="0F4ECF28" w:rsidR="6657A744" w:rsidRDefault="6657A744" w:rsidP="6657A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C7A"/>
    <w:multiLevelType w:val="hybridMultilevel"/>
    <w:tmpl w:val="CA860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227C2"/>
    <w:multiLevelType w:val="hybridMultilevel"/>
    <w:tmpl w:val="C9BA70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088F"/>
    <w:multiLevelType w:val="hybridMultilevel"/>
    <w:tmpl w:val="1C08D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25597"/>
    <w:multiLevelType w:val="hybridMultilevel"/>
    <w:tmpl w:val="8DF2FB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A203F"/>
    <w:multiLevelType w:val="hybridMultilevel"/>
    <w:tmpl w:val="738E8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C06E91"/>
    <w:multiLevelType w:val="hybridMultilevel"/>
    <w:tmpl w:val="09881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A29F1"/>
    <w:multiLevelType w:val="hybridMultilevel"/>
    <w:tmpl w:val="6B7AB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4C8D"/>
    <w:multiLevelType w:val="hybridMultilevel"/>
    <w:tmpl w:val="703E8FD4"/>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AD76BD"/>
    <w:multiLevelType w:val="hybridMultilevel"/>
    <w:tmpl w:val="7BDC24F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897208"/>
    <w:multiLevelType w:val="hybridMultilevel"/>
    <w:tmpl w:val="CB54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F00D2"/>
    <w:multiLevelType w:val="hybridMultilevel"/>
    <w:tmpl w:val="3E56C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2A517F"/>
    <w:multiLevelType w:val="multilevel"/>
    <w:tmpl w:val="5AC8274C"/>
    <w:lvl w:ilvl="0">
      <w:start w:val="1"/>
      <w:numFmt w:val="upperLetter"/>
      <w:lvlText w:val="%1."/>
      <w:lvlJc w:val="left"/>
      <w:pPr>
        <w:ind w:left="720" w:hanging="360"/>
      </w:pPr>
      <w:rPr>
        <w:rFonts w:asciiTheme="majorHAnsi" w:hAnsiTheme="majorHAnsi" w:hint="default"/>
      </w:rPr>
    </w:lvl>
    <w:lvl w:ilvl="1">
      <w:start w:val="1"/>
      <w:numFmt w:val="upperLetter"/>
      <w:lvlText w:val="%2."/>
      <w:lvlJc w:val="left"/>
      <w:pPr>
        <w:ind w:left="1260" w:hanging="360"/>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2AE2E29"/>
    <w:multiLevelType w:val="hybridMultilevel"/>
    <w:tmpl w:val="1F68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D27887"/>
    <w:multiLevelType w:val="hybridMultilevel"/>
    <w:tmpl w:val="F40285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41C15"/>
    <w:multiLevelType w:val="hybridMultilevel"/>
    <w:tmpl w:val="47726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B17C8D"/>
    <w:multiLevelType w:val="hybridMultilevel"/>
    <w:tmpl w:val="F7C00C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EB290E"/>
    <w:multiLevelType w:val="hybridMultilevel"/>
    <w:tmpl w:val="69D692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C5481"/>
    <w:multiLevelType w:val="hybridMultilevel"/>
    <w:tmpl w:val="0EB0E52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76A6"/>
    <w:multiLevelType w:val="multilevel"/>
    <w:tmpl w:val="162CF954"/>
    <w:lvl w:ilvl="0">
      <w:start w:val="1"/>
      <w:numFmt w:val="decimal"/>
      <w:lvlText w:val="Option %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B4A4EB7"/>
    <w:multiLevelType w:val="hybridMultilevel"/>
    <w:tmpl w:val="F174A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95003"/>
    <w:multiLevelType w:val="hybridMultilevel"/>
    <w:tmpl w:val="30EC1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1436E"/>
    <w:multiLevelType w:val="hybridMultilevel"/>
    <w:tmpl w:val="31C82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75F66"/>
    <w:multiLevelType w:val="hybridMultilevel"/>
    <w:tmpl w:val="607CF6E6"/>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3" w15:restartNumberingAfterBreak="0">
    <w:nsid w:val="4ABF38BC"/>
    <w:multiLevelType w:val="hybridMultilevel"/>
    <w:tmpl w:val="BBD67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1A1C83"/>
    <w:multiLevelType w:val="hybridMultilevel"/>
    <w:tmpl w:val="FD08C3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4250ED"/>
    <w:multiLevelType w:val="hybridMultilevel"/>
    <w:tmpl w:val="CD00F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B4A43"/>
    <w:multiLevelType w:val="hybridMultilevel"/>
    <w:tmpl w:val="57F6C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678FD"/>
    <w:multiLevelType w:val="hybridMultilevel"/>
    <w:tmpl w:val="30EC19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DD3CCE"/>
    <w:multiLevelType w:val="hybridMultilevel"/>
    <w:tmpl w:val="B6CA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C61F5"/>
    <w:multiLevelType w:val="multilevel"/>
    <w:tmpl w:val="74B2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666544"/>
    <w:multiLevelType w:val="hybridMultilevel"/>
    <w:tmpl w:val="6018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103995"/>
    <w:multiLevelType w:val="hybridMultilevel"/>
    <w:tmpl w:val="6FB02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7A2929"/>
    <w:multiLevelType w:val="hybridMultilevel"/>
    <w:tmpl w:val="D5303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1870D4"/>
    <w:multiLevelType w:val="hybridMultilevel"/>
    <w:tmpl w:val="9AAC23D0"/>
    <w:lvl w:ilvl="0" w:tplc="266A1470">
      <w:start w:val="1"/>
      <w:numFmt w:val="bullet"/>
      <w:lvlText w:val="•"/>
      <w:lvlJc w:val="left"/>
      <w:pPr>
        <w:tabs>
          <w:tab w:val="num" w:pos="720"/>
        </w:tabs>
        <w:ind w:left="720" w:hanging="360"/>
      </w:pPr>
      <w:rPr>
        <w:rFonts w:ascii="Arial" w:hAnsi="Arial" w:hint="default"/>
      </w:rPr>
    </w:lvl>
    <w:lvl w:ilvl="1" w:tplc="8C0EA042" w:tentative="1">
      <w:start w:val="1"/>
      <w:numFmt w:val="bullet"/>
      <w:lvlText w:val="•"/>
      <w:lvlJc w:val="left"/>
      <w:pPr>
        <w:tabs>
          <w:tab w:val="num" w:pos="1440"/>
        </w:tabs>
        <w:ind w:left="1440" w:hanging="360"/>
      </w:pPr>
      <w:rPr>
        <w:rFonts w:ascii="Arial" w:hAnsi="Arial" w:hint="default"/>
      </w:rPr>
    </w:lvl>
    <w:lvl w:ilvl="2" w:tplc="AADC3F7E" w:tentative="1">
      <w:start w:val="1"/>
      <w:numFmt w:val="bullet"/>
      <w:lvlText w:val="•"/>
      <w:lvlJc w:val="left"/>
      <w:pPr>
        <w:tabs>
          <w:tab w:val="num" w:pos="2160"/>
        </w:tabs>
        <w:ind w:left="2160" w:hanging="360"/>
      </w:pPr>
      <w:rPr>
        <w:rFonts w:ascii="Arial" w:hAnsi="Arial" w:hint="default"/>
      </w:rPr>
    </w:lvl>
    <w:lvl w:ilvl="3" w:tplc="4630164E" w:tentative="1">
      <w:start w:val="1"/>
      <w:numFmt w:val="bullet"/>
      <w:lvlText w:val="•"/>
      <w:lvlJc w:val="left"/>
      <w:pPr>
        <w:tabs>
          <w:tab w:val="num" w:pos="2880"/>
        </w:tabs>
        <w:ind w:left="2880" w:hanging="360"/>
      </w:pPr>
      <w:rPr>
        <w:rFonts w:ascii="Arial" w:hAnsi="Arial" w:hint="default"/>
      </w:rPr>
    </w:lvl>
    <w:lvl w:ilvl="4" w:tplc="2C3EC90E" w:tentative="1">
      <w:start w:val="1"/>
      <w:numFmt w:val="bullet"/>
      <w:lvlText w:val="•"/>
      <w:lvlJc w:val="left"/>
      <w:pPr>
        <w:tabs>
          <w:tab w:val="num" w:pos="3600"/>
        </w:tabs>
        <w:ind w:left="3600" w:hanging="360"/>
      </w:pPr>
      <w:rPr>
        <w:rFonts w:ascii="Arial" w:hAnsi="Arial" w:hint="default"/>
      </w:rPr>
    </w:lvl>
    <w:lvl w:ilvl="5" w:tplc="BF3E3398" w:tentative="1">
      <w:start w:val="1"/>
      <w:numFmt w:val="bullet"/>
      <w:lvlText w:val="•"/>
      <w:lvlJc w:val="left"/>
      <w:pPr>
        <w:tabs>
          <w:tab w:val="num" w:pos="4320"/>
        </w:tabs>
        <w:ind w:left="4320" w:hanging="360"/>
      </w:pPr>
      <w:rPr>
        <w:rFonts w:ascii="Arial" w:hAnsi="Arial" w:hint="default"/>
      </w:rPr>
    </w:lvl>
    <w:lvl w:ilvl="6" w:tplc="A1187FCA" w:tentative="1">
      <w:start w:val="1"/>
      <w:numFmt w:val="bullet"/>
      <w:lvlText w:val="•"/>
      <w:lvlJc w:val="left"/>
      <w:pPr>
        <w:tabs>
          <w:tab w:val="num" w:pos="5040"/>
        </w:tabs>
        <w:ind w:left="5040" w:hanging="360"/>
      </w:pPr>
      <w:rPr>
        <w:rFonts w:ascii="Arial" w:hAnsi="Arial" w:hint="default"/>
      </w:rPr>
    </w:lvl>
    <w:lvl w:ilvl="7" w:tplc="FCAE68D4" w:tentative="1">
      <w:start w:val="1"/>
      <w:numFmt w:val="bullet"/>
      <w:lvlText w:val="•"/>
      <w:lvlJc w:val="left"/>
      <w:pPr>
        <w:tabs>
          <w:tab w:val="num" w:pos="5760"/>
        </w:tabs>
        <w:ind w:left="5760" w:hanging="360"/>
      </w:pPr>
      <w:rPr>
        <w:rFonts w:ascii="Arial" w:hAnsi="Arial" w:hint="default"/>
      </w:rPr>
    </w:lvl>
    <w:lvl w:ilvl="8" w:tplc="2A36B9F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BC919FE"/>
    <w:multiLevelType w:val="hybridMultilevel"/>
    <w:tmpl w:val="A3A6A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F7764A"/>
    <w:multiLevelType w:val="hybridMultilevel"/>
    <w:tmpl w:val="9430902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FD1BA3"/>
    <w:multiLevelType w:val="hybridMultilevel"/>
    <w:tmpl w:val="2FFAED02"/>
    <w:lvl w:ilvl="0" w:tplc="06AC768E">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4062">
    <w:abstractNumId w:val="18"/>
  </w:num>
  <w:num w:numId="2" w16cid:durableId="1606961961">
    <w:abstractNumId w:val="7"/>
  </w:num>
  <w:num w:numId="3" w16cid:durableId="1728608590">
    <w:abstractNumId w:val="8"/>
  </w:num>
  <w:num w:numId="4" w16cid:durableId="1365596190">
    <w:abstractNumId w:val="1"/>
  </w:num>
  <w:num w:numId="5" w16cid:durableId="709690493">
    <w:abstractNumId w:val="4"/>
  </w:num>
  <w:num w:numId="6" w16cid:durableId="1479498013">
    <w:abstractNumId w:val="13"/>
  </w:num>
  <w:num w:numId="7" w16cid:durableId="368918957">
    <w:abstractNumId w:val="17"/>
  </w:num>
  <w:num w:numId="8" w16cid:durableId="1188643382">
    <w:abstractNumId w:val="35"/>
  </w:num>
  <w:num w:numId="9" w16cid:durableId="169761982">
    <w:abstractNumId w:val="26"/>
  </w:num>
  <w:num w:numId="10" w16cid:durableId="1683312177">
    <w:abstractNumId w:val="16"/>
  </w:num>
  <w:num w:numId="11" w16cid:durableId="116028815">
    <w:abstractNumId w:val="27"/>
  </w:num>
  <w:num w:numId="12" w16cid:durableId="1915622190">
    <w:abstractNumId w:val="24"/>
  </w:num>
  <w:num w:numId="13" w16cid:durableId="1878396850">
    <w:abstractNumId w:val="31"/>
  </w:num>
  <w:num w:numId="14" w16cid:durableId="757945884">
    <w:abstractNumId w:val="6"/>
  </w:num>
  <w:num w:numId="15" w16cid:durableId="1454858926">
    <w:abstractNumId w:val="3"/>
  </w:num>
  <w:num w:numId="16" w16cid:durableId="1089816601">
    <w:abstractNumId w:val="36"/>
  </w:num>
  <w:num w:numId="17" w16cid:durableId="105735436">
    <w:abstractNumId w:val="28"/>
  </w:num>
  <w:num w:numId="18" w16cid:durableId="1434670042">
    <w:abstractNumId w:val="9"/>
  </w:num>
  <w:num w:numId="19" w16cid:durableId="1775439902">
    <w:abstractNumId w:val="32"/>
  </w:num>
  <w:num w:numId="20" w16cid:durableId="1853103906">
    <w:abstractNumId w:val="14"/>
  </w:num>
  <w:num w:numId="21" w16cid:durableId="1659335410">
    <w:abstractNumId w:val="30"/>
  </w:num>
  <w:num w:numId="22" w16cid:durableId="1124735541">
    <w:abstractNumId w:val="12"/>
  </w:num>
  <w:num w:numId="23" w16cid:durableId="1095129512">
    <w:abstractNumId w:val="33"/>
  </w:num>
  <w:num w:numId="24" w16cid:durableId="802845144">
    <w:abstractNumId w:val="25"/>
  </w:num>
  <w:num w:numId="25" w16cid:durableId="1620379687">
    <w:abstractNumId w:val="11"/>
  </w:num>
  <w:num w:numId="26" w16cid:durableId="520314785">
    <w:abstractNumId w:val="29"/>
  </w:num>
  <w:num w:numId="27" w16cid:durableId="1565218619">
    <w:abstractNumId w:val="15"/>
  </w:num>
  <w:num w:numId="28" w16cid:durableId="1677459560">
    <w:abstractNumId w:val="0"/>
  </w:num>
  <w:num w:numId="29" w16cid:durableId="539437286">
    <w:abstractNumId w:val="23"/>
  </w:num>
  <w:num w:numId="30" w16cid:durableId="1260723685">
    <w:abstractNumId w:val="21"/>
  </w:num>
  <w:num w:numId="31" w16cid:durableId="769080657">
    <w:abstractNumId w:val="20"/>
  </w:num>
  <w:num w:numId="32" w16cid:durableId="1322924986">
    <w:abstractNumId w:val="19"/>
  </w:num>
  <w:num w:numId="33" w16cid:durableId="531843826">
    <w:abstractNumId w:val="5"/>
  </w:num>
  <w:num w:numId="34" w16cid:durableId="894632039">
    <w:abstractNumId w:val="10"/>
  </w:num>
  <w:num w:numId="35" w16cid:durableId="992099542">
    <w:abstractNumId w:val="22"/>
  </w:num>
  <w:num w:numId="36" w16cid:durableId="1000738310">
    <w:abstractNumId w:val="2"/>
  </w:num>
  <w:num w:numId="37" w16cid:durableId="794442976">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hdrShapeDefaults>
    <o:shapedefaults v:ext="edit" spidmax="2050" fill="f" fillcolor="none [3207]" strokecolor="red">
      <v:fill color="none [3207]" on="f"/>
      <v:stroke color="red" weight="3pt"/>
      <v:shadow on="t" type="perspective" color="none [1607]" opacity=".5" offset="1pt" offset2="-1pt"/>
      <o:colormru v:ext="edit" colors="#f93,#ffba75,#fdb82f,#396,teal,#fed88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67C"/>
    <w:rsid w:val="0000016E"/>
    <w:rsid w:val="00000FF1"/>
    <w:rsid w:val="000029E4"/>
    <w:rsid w:val="00006FBA"/>
    <w:rsid w:val="00010AAF"/>
    <w:rsid w:val="000113A5"/>
    <w:rsid w:val="000177DD"/>
    <w:rsid w:val="000226FF"/>
    <w:rsid w:val="000336D8"/>
    <w:rsid w:val="00036F00"/>
    <w:rsid w:val="000433A4"/>
    <w:rsid w:val="00043E34"/>
    <w:rsid w:val="00045884"/>
    <w:rsid w:val="00051004"/>
    <w:rsid w:val="000561A1"/>
    <w:rsid w:val="00061066"/>
    <w:rsid w:val="00080240"/>
    <w:rsid w:val="000833AC"/>
    <w:rsid w:val="000844D9"/>
    <w:rsid w:val="00084681"/>
    <w:rsid w:val="00085109"/>
    <w:rsid w:val="00086835"/>
    <w:rsid w:val="000A50C1"/>
    <w:rsid w:val="000A6C78"/>
    <w:rsid w:val="000B4529"/>
    <w:rsid w:val="000B45D9"/>
    <w:rsid w:val="000B740A"/>
    <w:rsid w:val="000C13E5"/>
    <w:rsid w:val="000C181B"/>
    <w:rsid w:val="000C36D3"/>
    <w:rsid w:val="000C38C4"/>
    <w:rsid w:val="000C4C92"/>
    <w:rsid w:val="000C7223"/>
    <w:rsid w:val="000D04C1"/>
    <w:rsid w:val="000D1585"/>
    <w:rsid w:val="000D29BC"/>
    <w:rsid w:val="000D6813"/>
    <w:rsid w:val="000E60CC"/>
    <w:rsid w:val="000E6F6C"/>
    <w:rsid w:val="00103A07"/>
    <w:rsid w:val="00105A96"/>
    <w:rsid w:val="00113D95"/>
    <w:rsid w:val="00116BBB"/>
    <w:rsid w:val="001206DA"/>
    <w:rsid w:val="00126908"/>
    <w:rsid w:val="00132972"/>
    <w:rsid w:val="00136501"/>
    <w:rsid w:val="00136667"/>
    <w:rsid w:val="00140EE9"/>
    <w:rsid w:val="00144D2B"/>
    <w:rsid w:val="001520A4"/>
    <w:rsid w:val="00161548"/>
    <w:rsid w:val="001620F0"/>
    <w:rsid w:val="001643A9"/>
    <w:rsid w:val="0016515C"/>
    <w:rsid w:val="001758B3"/>
    <w:rsid w:val="001809AF"/>
    <w:rsid w:val="00186720"/>
    <w:rsid w:val="0019090B"/>
    <w:rsid w:val="001A14B0"/>
    <w:rsid w:val="001A5947"/>
    <w:rsid w:val="001B0B4D"/>
    <w:rsid w:val="001B63C9"/>
    <w:rsid w:val="001C00D7"/>
    <w:rsid w:val="001C23C8"/>
    <w:rsid w:val="001C7E7B"/>
    <w:rsid w:val="001D3295"/>
    <w:rsid w:val="001E18EE"/>
    <w:rsid w:val="001E687F"/>
    <w:rsid w:val="001F1490"/>
    <w:rsid w:val="001F314C"/>
    <w:rsid w:val="00200EA2"/>
    <w:rsid w:val="00202157"/>
    <w:rsid w:val="0020446A"/>
    <w:rsid w:val="00204584"/>
    <w:rsid w:val="00204C93"/>
    <w:rsid w:val="00220BDB"/>
    <w:rsid w:val="002247DD"/>
    <w:rsid w:val="002270F0"/>
    <w:rsid w:val="00232786"/>
    <w:rsid w:val="00236504"/>
    <w:rsid w:val="00256151"/>
    <w:rsid w:val="00257BFE"/>
    <w:rsid w:val="00273343"/>
    <w:rsid w:val="0027511D"/>
    <w:rsid w:val="00282C0B"/>
    <w:rsid w:val="00291C04"/>
    <w:rsid w:val="002921BD"/>
    <w:rsid w:val="00292B5D"/>
    <w:rsid w:val="002A22A4"/>
    <w:rsid w:val="002B5D5D"/>
    <w:rsid w:val="002C1557"/>
    <w:rsid w:val="002C663C"/>
    <w:rsid w:val="002D4BF9"/>
    <w:rsid w:val="002D4D8C"/>
    <w:rsid w:val="002D585B"/>
    <w:rsid w:val="002D6D80"/>
    <w:rsid w:val="002E3ECC"/>
    <w:rsid w:val="002F3220"/>
    <w:rsid w:val="003051E6"/>
    <w:rsid w:val="003058F3"/>
    <w:rsid w:val="00307934"/>
    <w:rsid w:val="00307B68"/>
    <w:rsid w:val="00311C82"/>
    <w:rsid w:val="00312005"/>
    <w:rsid w:val="00314253"/>
    <w:rsid w:val="00314DD2"/>
    <w:rsid w:val="00315697"/>
    <w:rsid w:val="00315FC7"/>
    <w:rsid w:val="00320CE4"/>
    <w:rsid w:val="00321E5F"/>
    <w:rsid w:val="00326F42"/>
    <w:rsid w:val="00327D6F"/>
    <w:rsid w:val="00332B0A"/>
    <w:rsid w:val="00333544"/>
    <w:rsid w:val="003553DF"/>
    <w:rsid w:val="00362C3D"/>
    <w:rsid w:val="003641E8"/>
    <w:rsid w:val="0036424B"/>
    <w:rsid w:val="0037148C"/>
    <w:rsid w:val="00371663"/>
    <w:rsid w:val="00384663"/>
    <w:rsid w:val="003852AC"/>
    <w:rsid w:val="00386493"/>
    <w:rsid w:val="00391F75"/>
    <w:rsid w:val="003B40EF"/>
    <w:rsid w:val="003B579D"/>
    <w:rsid w:val="003B7CF8"/>
    <w:rsid w:val="003C2B69"/>
    <w:rsid w:val="003C2DBE"/>
    <w:rsid w:val="003D74A9"/>
    <w:rsid w:val="003E2223"/>
    <w:rsid w:val="003E61D2"/>
    <w:rsid w:val="003E68D9"/>
    <w:rsid w:val="003F4309"/>
    <w:rsid w:val="003F5FE3"/>
    <w:rsid w:val="0040381D"/>
    <w:rsid w:val="00407241"/>
    <w:rsid w:val="004301DF"/>
    <w:rsid w:val="00434789"/>
    <w:rsid w:val="00436CB3"/>
    <w:rsid w:val="00441437"/>
    <w:rsid w:val="00441F1D"/>
    <w:rsid w:val="00447E2E"/>
    <w:rsid w:val="00450155"/>
    <w:rsid w:val="00453747"/>
    <w:rsid w:val="00461D63"/>
    <w:rsid w:val="0047353F"/>
    <w:rsid w:val="004853D2"/>
    <w:rsid w:val="00494C5C"/>
    <w:rsid w:val="00496264"/>
    <w:rsid w:val="00497AC2"/>
    <w:rsid w:val="004B16AF"/>
    <w:rsid w:val="004D2E64"/>
    <w:rsid w:val="004D3C37"/>
    <w:rsid w:val="004D43A2"/>
    <w:rsid w:val="004E067C"/>
    <w:rsid w:val="004E1AD1"/>
    <w:rsid w:val="004E64D8"/>
    <w:rsid w:val="004E6A50"/>
    <w:rsid w:val="004F40F1"/>
    <w:rsid w:val="00500D54"/>
    <w:rsid w:val="0050155D"/>
    <w:rsid w:val="005027C5"/>
    <w:rsid w:val="00504C35"/>
    <w:rsid w:val="00506F63"/>
    <w:rsid w:val="00517472"/>
    <w:rsid w:val="00517CD5"/>
    <w:rsid w:val="00521CA3"/>
    <w:rsid w:val="00522994"/>
    <w:rsid w:val="0052600D"/>
    <w:rsid w:val="00531427"/>
    <w:rsid w:val="0054014C"/>
    <w:rsid w:val="00543646"/>
    <w:rsid w:val="005441E1"/>
    <w:rsid w:val="00565CF5"/>
    <w:rsid w:val="0056787D"/>
    <w:rsid w:val="00574418"/>
    <w:rsid w:val="00591B75"/>
    <w:rsid w:val="005A0B56"/>
    <w:rsid w:val="005A2A17"/>
    <w:rsid w:val="005A57E8"/>
    <w:rsid w:val="005A5DAE"/>
    <w:rsid w:val="005B569A"/>
    <w:rsid w:val="005C24DA"/>
    <w:rsid w:val="005D1838"/>
    <w:rsid w:val="005D2E8D"/>
    <w:rsid w:val="005D4A32"/>
    <w:rsid w:val="005D4D90"/>
    <w:rsid w:val="005D758C"/>
    <w:rsid w:val="005E1B52"/>
    <w:rsid w:val="005F325F"/>
    <w:rsid w:val="00601B1D"/>
    <w:rsid w:val="00602C37"/>
    <w:rsid w:val="00605FC0"/>
    <w:rsid w:val="00612178"/>
    <w:rsid w:val="00615611"/>
    <w:rsid w:val="00633BDF"/>
    <w:rsid w:val="006349F7"/>
    <w:rsid w:val="00634ECE"/>
    <w:rsid w:val="00644496"/>
    <w:rsid w:val="006468B8"/>
    <w:rsid w:val="00647B8F"/>
    <w:rsid w:val="006551C1"/>
    <w:rsid w:val="0065660D"/>
    <w:rsid w:val="00660B67"/>
    <w:rsid w:val="00661ABE"/>
    <w:rsid w:val="00665DDB"/>
    <w:rsid w:val="00665EAD"/>
    <w:rsid w:val="00671B6D"/>
    <w:rsid w:val="00676868"/>
    <w:rsid w:val="006770F7"/>
    <w:rsid w:val="00680E98"/>
    <w:rsid w:val="006843E5"/>
    <w:rsid w:val="0069152A"/>
    <w:rsid w:val="00697227"/>
    <w:rsid w:val="006A2FF2"/>
    <w:rsid w:val="006A4C55"/>
    <w:rsid w:val="006B1228"/>
    <w:rsid w:val="006B49E8"/>
    <w:rsid w:val="006B5AB6"/>
    <w:rsid w:val="006C49B9"/>
    <w:rsid w:val="006C5428"/>
    <w:rsid w:val="006E2DF9"/>
    <w:rsid w:val="006E6EB3"/>
    <w:rsid w:val="006F77CB"/>
    <w:rsid w:val="007039C8"/>
    <w:rsid w:val="00703AA2"/>
    <w:rsid w:val="00707D8B"/>
    <w:rsid w:val="00710C7C"/>
    <w:rsid w:val="00716A39"/>
    <w:rsid w:val="00717EB1"/>
    <w:rsid w:val="007239A3"/>
    <w:rsid w:val="00725F9D"/>
    <w:rsid w:val="0073559B"/>
    <w:rsid w:val="00740016"/>
    <w:rsid w:val="00751632"/>
    <w:rsid w:val="00753D4E"/>
    <w:rsid w:val="00754AD0"/>
    <w:rsid w:val="007604C1"/>
    <w:rsid w:val="007650F8"/>
    <w:rsid w:val="0076718D"/>
    <w:rsid w:val="0077369A"/>
    <w:rsid w:val="00776BC6"/>
    <w:rsid w:val="0078651B"/>
    <w:rsid w:val="00786D79"/>
    <w:rsid w:val="00794B18"/>
    <w:rsid w:val="007A0D04"/>
    <w:rsid w:val="007A6C58"/>
    <w:rsid w:val="007C1AF7"/>
    <w:rsid w:val="007C2E06"/>
    <w:rsid w:val="007C3146"/>
    <w:rsid w:val="007C5826"/>
    <w:rsid w:val="007D3F97"/>
    <w:rsid w:val="007D4378"/>
    <w:rsid w:val="007E7E53"/>
    <w:rsid w:val="007F1C38"/>
    <w:rsid w:val="00802D41"/>
    <w:rsid w:val="008062E9"/>
    <w:rsid w:val="008109FD"/>
    <w:rsid w:val="00815EA4"/>
    <w:rsid w:val="00820569"/>
    <w:rsid w:val="008234DB"/>
    <w:rsid w:val="00827B52"/>
    <w:rsid w:val="00831072"/>
    <w:rsid w:val="00840562"/>
    <w:rsid w:val="008458C7"/>
    <w:rsid w:val="008539F7"/>
    <w:rsid w:val="0085618E"/>
    <w:rsid w:val="008612A4"/>
    <w:rsid w:val="00863D72"/>
    <w:rsid w:val="00864E22"/>
    <w:rsid w:val="008679DF"/>
    <w:rsid w:val="00874FB7"/>
    <w:rsid w:val="00887B0A"/>
    <w:rsid w:val="00891888"/>
    <w:rsid w:val="008A1BF2"/>
    <w:rsid w:val="008A296C"/>
    <w:rsid w:val="008A43A4"/>
    <w:rsid w:val="008A5CAE"/>
    <w:rsid w:val="008A7975"/>
    <w:rsid w:val="008B36A4"/>
    <w:rsid w:val="008D4910"/>
    <w:rsid w:val="008E03BD"/>
    <w:rsid w:val="008E6857"/>
    <w:rsid w:val="008E6BEB"/>
    <w:rsid w:val="008F6BD7"/>
    <w:rsid w:val="009179DA"/>
    <w:rsid w:val="00925905"/>
    <w:rsid w:val="0095115A"/>
    <w:rsid w:val="00952297"/>
    <w:rsid w:val="00970C92"/>
    <w:rsid w:val="009711F7"/>
    <w:rsid w:val="009861F4"/>
    <w:rsid w:val="009915FE"/>
    <w:rsid w:val="0099335F"/>
    <w:rsid w:val="009958C7"/>
    <w:rsid w:val="00997B83"/>
    <w:rsid w:val="009A05F3"/>
    <w:rsid w:val="009A145B"/>
    <w:rsid w:val="009B6543"/>
    <w:rsid w:val="009B7D5B"/>
    <w:rsid w:val="009C2083"/>
    <w:rsid w:val="009C3C05"/>
    <w:rsid w:val="009C4A9A"/>
    <w:rsid w:val="009D325A"/>
    <w:rsid w:val="009D725C"/>
    <w:rsid w:val="009E2563"/>
    <w:rsid w:val="009E2711"/>
    <w:rsid w:val="009F7105"/>
    <w:rsid w:val="00A01AA7"/>
    <w:rsid w:val="00A11A66"/>
    <w:rsid w:val="00A15410"/>
    <w:rsid w:val="00A206F6"/>
    <w:rsid w:val="00A23FEB"/>
    <w:rsid w:val="00A2604B"/>
    <w:rsid w:val="00A26E45"/>
    <w:rsid w:val="00A279C5"/>
    <w:rsid w:val="00A32FF3"/>
    <w:rsid w:val="00A35404"/>
    <w:rsid w:val="00A440BC"/>
    <w:rsid w:val="00A55480"/>
    <w:rsid w:val="00A55D3F"/>
    <w:rsid w:val="00A56A6D"/>
    <w:rsid w:val="00A6295C"/>
    <w:rsid w:val="00A63B9E"/>
    <w:rsid w:val="00A6617E"/>
    <w:rsid w:val="00A915BB"/>
    <w:rsid w:val="00A921A6"/>
    <w:rsid w:val="00A95DB9"/>
    <w:rsid w:val="00A96BC1"/>
    <w:rsid w:val="00AB1D0C"/>
    <w:rsid w:val="00AB1F52"/>
    <w:rsid w:val="00AB7F9C"/>
    <w:rsid w:val="00AC1221"/>
    <w:rsid w:val="00AC227E"/>
    <w:rsid w:val="00AC50B6"/>
    <w:rsid w:val="00AD2A0B"/>
    <w:rsid w:val="00AE080C"/>
    <w:rsid w:val="00AE3619"/>
    <w:rsid w:val="00B06A47"/>
    <w:rsid w:val="00B13BE0"/>
    <w:rsid w:val="00B36AD9"/>
    <w:rsid w:val="00B4273D"/>
    <w:rsid w:val="00B47B00"/>
    <w:rsid w:val="00B47F48"/>
    <w:rsid w:val="00B47F81"/>
    <w:rsid w:val="00B50003"/>
    <w:rsid w:val="00B50D34"/>
    <w:rsid w:val="00B576E2"/>
    <w:rsid w:val="00B6193E"/>
    <w:rsid w:val="00B67771"/>
    <w:rsid w:val="00B71BFF"/>
    <w:rsid w:val="00B73CEF"/>
    <w:rsid w:val="00B75C47"/>
    <w:rsid w:val="00B83480"/>
    <w:rsid w:val="00B83974"/>
    <w:rsid w:val="00BA0051"/>
    <w:rsid w:val="00BA1F32"/>
    <w:rsid w:val="00BA3DCE"/>
    <w:rsid w:val="00BA4161"/>
    <w:rsid w:val="00BB0847"/>
    <w:rsid w:val="00BB66E4"/>
    <w:rsid w:val="00BC0998"/>
    <w:rsid w:val="00BC34A7"/>
    <w:rsid w:val="00BC5C9E"/>
    <w:rsid w:val="00BC6621"/>
    <w:rsid w:val="00BD2459"/>
    <w:rsid w:val="00BE0B27"/>
    <w:rsid w:val="00BE4D37"/>
    <w:rsid w:val="00BE5AC0"/>
    <w:rsid w:val="00BE5ACD"/>
    <w:rsid w:val="00BE68F9"/>
    <w:rsid w:val="00BF38FF"/>
    <w:rsid w:val="00BF418C"/>
    <w:rsid w:val="00C05122"/>
    <w:rsid w:val="00C058B3"/>
    <w:rsid w:val="00C11357"/>
    <w:rsid w:val="00C12B67"/>
    <w:rsid w:val="00C12B96"/>
    <w:rsid w:val="00C16B23"/>
    <w:rsid w:val="00C205B4"/>
    <w:rsid w:val="00C20AC0"/>
    <w:rsid w:val="00C2212E"/>
    <w:rsid w:val="00C31DD9"/>
    <w:rsid w:val="00C326AF"/>
    <w:rsid w:val="00C402E9"/>
    <w:rsid w:val="00C404C0"/>
    <w:rsid w:val="00C40CFB"/>
    <w:rsid w:val="00C4218D"/>
    <w:rsid w:val="00C43600"/>
    <w:rsid w:val="00C46143"/>
    <w:rsid w:val="00C46477"/>
    <w:rsid w:val="00C54E08"/>
    <w:rsid w:val="00C60833"/>
    <w:rsid w:val="00C610B5"/>
    <w:rsid w:val="00C616BF"/>
    <w:rsid w:val="00C64CFE"/>
    <w:rsid w:val="00C66B2C"/>
    <w:rsid w:val="00C72EB3"/>
    <w:rsid w:val="00C7341C"/>
    <w:rsid w:val="00C772F2"/>
    <w:rsid w:val="00C85610"/>
    <w:rsid w:val="00C9797F"/>
    <w:rsid w:val="00CA3658"/>
    <w:rsid w:val="00CA420B"/>
    <w:rsid w:val="00CB4134"/>
    <w:rsid w:val="00CB5285"/>
    <w:rsid w:val="00CB5C6C"/>
    <w:rsid w:val="00CC0350"/>
    <w:rsid w:val="00CC5717"/>
    <w:rsid w:val="00CC6147"/>
    <w:rsid w:val="00CD1D5F"/>
    <w:rsid w:val="00CD2E9D"/>
    <w:rsid w:val="00CD3B3B"/>
    <w:rsid w:val="00CE2E5A"/>
    <w:rsid w:val="00CE4281"/>
    <w:rsid w:val="00CF116B"/>
    <w:rsid w:val="00D11614"/>
    <w:rsid w:val="00D17EAF"/>
    <w:rsid w:val="00D22A28"/>
    <w:rsid w:val="00D30417"/>
    <w:rsid w:val="00D33BB7"/>
    <w:rsid w:val="00D37BF6"/>
    <w:rsid w:val="00D436D6"/>
    <w:rsid w:val="00D43AA3"/>
    <w:rsid w:val="00D43EC0"/>
    <w:rsid w:val="00D459CA"/>
    <w:rsid w:val="00D568BE"/>
    <w:rsid w:val="00D57847"/>
    <w:rsid w:val="00D62693"/>
    <w:rsid w:val="00D629C5"/>
    <w:rsid w:val="00D646DA"/>
    <w:rsid w:val="00D65A33"/>
    <w:rsid w:val="00D661D4"/>
    <w:rsid w:val="00D743DB"/>
    <w:rsid w:val="00D823ED"/>
    <w:rsid w:val="00D85378"/>
    <w:rsid w:val="00D86C99"/>
    <w:rsid w:val="00D91302"/>
    <w:rsid w:val="00D93A89"/>
    <w:rsid w:val="00D957CC"/>
    <w:rsid w:val="00DA142F"/>
    <w:rsid w:val="00DA6DFB"/>
    <w:rsid w:val="00DB2E9C"/>
    <w:rsid w:val="00DD1B08"/>
    <w:rsid w:val="00DD688D"/>
    <w:rsid w:val="00DD73BC"/>
    <w:rsid w:val="00DF2B8A"/>
    <w:rsid w:val="00DF5EE8"/>
    <w:rsid w:val="00DF6491"/>
    <w:rsid w:val="00E10141"/>
    <w:rsid w:val="00E125B6"/>
    <w:rsid w:val="00E16F3A"/>
    <w:rsid w:val="00E408B5"/>
    <w:rsid w:val="00E42E1A"/>
    <w:rsid w:val="00E43266"/>
    <w:rsid w:val="00E445C2"/>
    <w:rsid w:val="00E44BC3"/>
    <w:rsid w:val="00E44F06"/>
    <w:rsid w:val="00E54229"/>
    <w:rsid w:val="00E562AE"/>
    <w:rsid w:val="00E56EED"/>
    <w:rsid w:val="00E62D3E"/>
    <w:rsid w:val="00E649E8"/>
    <w:rsid w:val="00E7013E"/>
    <w:rsid w:val="00E71A38"/>
    <w:rsid w:val="00E74104"/>
    <w:rsid w:val="00E7728D"/>
    <w:rsid w:val="00E81175"/>
    <w:rsid w:val="00E83565"/>
    <w:rsid w:val="00E86CE0"/>
    <w:rsid w:val="00E9140C"/>
    <w:rsid w:val="00E916F3"/>
    <w:rsid w:val="00EA05D1"/>
    <w:rsid w:val="00EB2690"/>
    <w:rsid w:val="00EB6ACF"/>
    <w:rsid w:val="00EC52CE"/>
    <w:rsid w:val="00EC6D3C"/>
    <w:rsid w:val="00ED5E0E"/>
    <w:rsid w:val="00EE0F8F"/>
    <w:rsid w:val="00EE28E0"/>
    <w:rsid w:val="00EE33B5"/>
    <w:rsid w:val="00F07C31"/>
    <w:rsid w:val="00F11189"/>
    <w:rsid w:val="00F1259C"/>
    <w:rsid w:val="00F12F54"/>
    <w:rsid w:val="00F15D0C"/>
    <w:rsid w:val="00F17632"/>
    <w:rsid w:val="00F20E26"/>
    <w:rsid w:val="00F2130D"/>
    <w:rsid w:val="00F24AD4"/>
    <w:rsid w:val="00F27423"/>
    <w:rsid w:val="00F32404"/>
    <w:rsid w:val="00F32702"/>
    <w:rsid w:val="00F372A5"/>
    <w:rsid w:val="00F377F6"/>
    <w:rsid w:val="00F406D5"/>
    <w:rsid w:val="00F530BA"/>
    <w:rsid w:val="00F53E8F"/>
    <w:rsid w:val="00F60214"/>
    <w:rsid w:val="00F60BA8"/>
    <w:rsid w:val="00F6321E"/>
    <w:rsid w:val="00F7330A"/>
    <w:rsid w:val="00F80B08"/>
    <w:rsid w:val="00F85974"/>
    <w:rsid w:val="00F900D5"/>
    <w:rsid w:val="00F94A57"/>
    <w:rsid w:val="00F960EF"/>
    <w:rsid w:val="00F97629"/>
    <w:rsid w:val="00FA3554"/>
    <w:rsid w:val="00FA4D23"/>
    <w:rsid w:val="00FC1101"/>
    <w:rsid w:val="00FE03F3"/>
    <w:rsid w:val="00FE16AA"/>
    <w:rsid w:val="00FE21DF"/>
    <w:rsid w:val="00FE2B8B"/>
    <w:rsid w:val="00FE3C62"/>
    <w:rsid w:val="00FF0FF2"/>
    <w:rsid w:val="01715F1F"/>
    <w:rsid w:val="019C99EB"/>
    <w:rsid w:val="0279FA10"/>
    <w:rsid w:val="02F38BEB"/>
    <w:rsid w:val="06064DE0"/>
    <w:rsid w:val="08C4864E"/>
    <w:rsid w:val="0CF84D07"/>
    <w:rsid w:val="0D00DB6D"/>
    <w:rsid w:val="0ED236B0"/>
    <w:rsid w:val="0F5ADA13"/>
    <w:rsid w:val="10667233"/>
    <w:rsid w:val="108A0729"/>
    <w:rsid w:val="11D67219"/>
    <w:rsid w:val="12A7964B"/>
    <w:rsid w:val="13042CC2"/>
    <w:rsid w:val="13B1CBBA"/>
    <w:rsid w:val="14F4C7B0"/>
    <w:rsid w:val="15762F2C"/>
    <w:rsid w:val="1768A629"/>
    <w:rsid w:val="17FC2A47"/>
    <w:rsid w:val="1AD774AE"/>
    <w:rsid w:val="1D139ED0"/>
    <w:rsid w:val="1D1FC6AD"/>
    <w:rsid w:val="1E8E2453"/>
    <w:rsid w:val="22A06182"/>
    <w:rsid w:val="22BE46AB"/>
    <w:rsid w:val="2598A78E"/>
    <w:rsid w:val="266C95B9"/>
    <w:rsid w:val="27B1CFB0"/>
    <w:rsid w:val="27F49EF9"/>
    <w:rsid w:val="2B477451"/>
    <w:rsid w:val="2B5F32E7"/>
    <w:rsid w:val="2DE513E9"/>
    <w:rsid w:val="2E75FA52"/>
    <w:rsid w:val="2E97CE39"/>
    <w:rsid w:val="31A41303"/>
    <w:rsid w:val="32ACE8BC"/>
    <w:rsid w:val="33A7CAEC"/>
    <w:rsid w:val="39589947"/>
    <w:rsid w:val="417261CD"/>
    <w:rsid w:val="45BA4C0D"/>
    <w:rsid w:val="4631FB23"/>
    <w:rsid w:val="465B92C0"/>
    <w:rsid w:val="479820C1"/>
    <w:rsid w:val="47F60B3C"/>
    <w:rsid w:val="4ABC5565"/>
    <w:rsid w:val="4AD8D436"/>
    <w:rsid w:val="4DDC72B0"/>
    <w:rsid w:val="507E2CB9"/>
    <w:rsid w:val="50B3EFC8"/>
    <w:rsid w:val="51AD3599"/>
    <w:rsid w:val="53786729"/>
    <w:rsid w:val="5605B067"/>
    <w:rsid w:val="57BEDC12"/>
    <w:rsid w:val="5864FC56"/>
    <w:rsid w:val="599963A5"/>
    <w:rsid w:val="5A0344A6"/>
    <w:rsid w:val="5D501684"/>
    <w:rsid w:val="60FEBD35"/>
    <w:rsid w:val="611C6179"/>
    <w:rsid w:val="6139A4C1"/>
    <w:rsid w:val="61AACD9A"/>
    <w:rsid w:val="6492901F"/>
    <w:rsid w:val="64A21F44"/>
    <w:rsid w:val="6510E8E4"/>
    <w:rsid w:val="6657A744"/>
    <w:rsid w:val="689FA42B"/>
    <w:rsid w:val="69BBE01E"/>
    <w:rsid w:val="6B00F525"/>
    <w:rsid w:val="6F02A798"/>
    <w:rsid w:val="70250300"/>
    <w:rsid w:val="765C8C3F"/>
    <w:rsid w:val="7B132009"/>
    <w:rsid w:val="7BC3222F"/>
    <w:rsid w:val="7D54C2BF"/>
    <w:rsid w:val="7E6C54FC"/>
    <w:rsid w:val="7E87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none [3207]" strokecolor="red">
      <v:fill color="none [3207]" on="f"/>
      <v:stroke color="red" weight="3pt"/>
      <v:shadow on="t" type="perspective" color="none [1607]" opacity=".5" offset="1pt" offset2="-1pt"/>
      <o:colormru v:ext="edit" colors="#f93,#ffba75,#fdb82f,#396,teal,#fed88c"/>
    </o:shapedefaults>
    <o:shapelayout v:ext="edit">
      <o:idmap v:ext="edit" data="2"/>
    </o:shapelayout>
  </w:shapeDefaults>
  <w:decimalSymbol w:val="."/>
  <w:listSeparator w:val=","/>
  <w14:docId w14:val="4A516489"/>
  <w15:docId w15:val="{9AAC8174-ABD7-4748-A716-6493BC9B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ECC"/>
  </w:style>
  <w:style w:type="paragraph" w:styleId="Heading1">
    <w:name w:val="heading 1"/>
    <w:basedOn w:val="Normal"/>
    <w:next w:val="Normal"/>
    <w:link w:val="Heading1Char"/>
    <w:uiPriority w:val="9"/>
    <w:qFormat/>
    <w:rsid w:val="000C38C4"/>
    <w:pPr>
      <w:keepNext/>
      <w:keepLines/>
      <w:spacing w:before="240" w:after="0"/>
      <w:outlineLvl w:val="0"/>
    </w:pPr>
    <w:rPr>
      <w:rFonts w:asciiTheme="majorHAnsi" w:eastAsiaTheme="majorEastAsia" w:hAnsiTheme="majorHAnsi" w:cstheme="majorBidi"/>
      <w:color w:val="004C4C" w:themeColor="accent1" w:themeShade="BF"/>
      <w:sz w:val="32"/>
      <w:szCs w:val="32"/>
    </w:rPr>
  </w:style>
  <w:style w:type="paragraph" w:styleId="Heading2">
    <w:name w:val="heading 2"/>
    <w:basedOn w:val="Normal"/>
    <w:next w:val="Normal"/>
    <w:link w:val="Heading2Char"/>
    <w:uiPriority w:val="9"/>
    <w:unhideWhenUsed/>
    <w:qFormat/>
    <w:rsid w:val="000C38C4"/>
    <w:pPr>
      <w:keepNext/>
      <w:keepLines/>
      <w:spacing w:before="40" w:after="0"/>
      <w:outlineLvl w:val="1"/>
    </w:pPr>
    <w:rPr>
      <w:rFonts w:asciiTheme="majorHAnsi" w:eastAsiaTheme="majorEastAsia" w:hAnsiTheme="majorHAnsi" w:cstheme="majorBidi"/>
      <w:color w:val="004C4C" w:themeColor="accent1" w:themeShade="BF"/>
      <w:sz w:val="26"/>
      <w:szCs w:val="26"/>
    </w:rPr>
  </w:style>
  <w:style w:type="paragraph" w:styleId="Heading3">
    <w:name w:val="heading 3"/>
    <w:basedOn w:val="Normal"/>
    <w:next w:val="Normal"/>
    <w:link w:val="Heading3Char"/>
    <w:uiPriority w:val="9"/>
    <w:unhideWhenUsed/>
    <w:qFormat/>
    <w:rsid w:val="00D17EAF"/>
    <w:pPr>
      <w:keepNext/>
      <w:keepLines/>
      <w:spacing w:before="40" w:after="0"/>
      <w:outlineLvl w:val="2"/>
    </w:pPr>
    <w:rPr>
      <w:rFonts w:asciiTheme="majorHAnsi" w:eastAsiaTheme="majorEastAsia" w:hAnsiTheme="majorHAnsi" w:cstheme="majorBidi"/>
      <w:color w:val="003232" w:themeColor="accent1" w:themeShade="7F"/>
      <w:sz w:val="24"/>
      <w:szCs w:val="24"/>
    </w:rPr>
  </w:style>
  <w:style w:type="paragraph" w:styleId="Heading4">
    <w:name w:val="heading 4"/>
    <w:basedOn w:val="Normal"/>
    <w:next w:val="Normal"/>
    <w:link w:val="Heading4Char"/>
    <w:uiPriority w:val="9"/>
    <w:unhideWhenUsed/>
    <w:qFormat/>
    <w:rsid w:val="00B6193E"/>
    <w:pPr>
      <w:keepNext/>
      <w:keepLines/>
      <w:spacing w:before="200" w:after="0"/>
      <w:outlineLvl w:val="3"/>
    </w:pPr>
    <w:rPr>
      <w:rFonts w:asciiTheme="majorHAnsi" w:eastAsiaTheme="majorEastAsia" w:hAnsiTheme="majorHAnsi" w:cstheme="majorBidi"/>
      <w:b/>
      <w:bCs/>
      <w:i/>
      <w:iCs/>
      <w:color w:val="00666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3A89"/>
    <w:rPr>
      <w:color w:val="0563C1" w:themeColor="hyperlink"/>
      <w:u w:val="single"/>
    </w:rPr>
  </w:style>
  <w:style w:type="character" w:styleId="CommentReference">
    <w:name w:val="annotation reference"/>
    <w:basedOn w:val="DefaultParagraphFont"/>
    <w:uiPriority w:val="99"/>
    <w:semiHidden/>
    <w:unhideWhenUsed/>
    <w:rsid w:val="005A2A17"/>
    <w:rPr>
      <w:sz w:val="16"/>
      <w:szCs w:val="16"/>
    </w:rPr>
  </w:style>
  <w:style w:type="paragraph" w:styleId="CommentText">
    <w:name w:val="annotation text"/>
    <w:basedOn w:val="Normal"/>
    <w:link w:val="CommentTextChar"/>
    <w:uiPriority w:val="99"/>
    <w:unhideWhenUsed/>
    <w:rsid w:val="005A2A17"/>
    <w:pPr>
      <w:spacing w:line="240" w:lineRule="auto"/>
    </w:pPr>
    <w:rPr>
      <w:sz w:val="20"/>
      <w:szCs w:val="20"/>
    </w:rPr>
  </w:style>
  <w:style w:type="character" w:customStyle="1" w:styleId="CommentTextChar">
    <w:name w:val="Comment Text Char"/>
    <w:basedOn w:val="DefaultParagraphFont"/>
    <w:link w:val="CommentText"/>
    <w:uiPriority w:val="99"/>
    <w:rsid w:val="005A2A17"/>
    <w:rPr>
      <w:sz w:val="20"/>
      <w:szCs w:val="20"/>
    </w:rPr>
  </w:style>
  <w:style w:type="paragraph" w:styleId="CommentSubject">
    <w:name w:val="annotation subject"/>
    <w:basedOn w:val="CommentText"/>
    <w:next w:val="CommentText"/>
    <w:link w:val="CommentSubjectChar"/>
    <w:uiPriority w:val="99"/>
    <w:semiHidden/>
    <w:unhideWhenUsed/>
    <w:rsid w:val="005A2A17"/>
    <w:rPr>
      <w:b/>
      <w:bCs/>
    </w:rPr>
  </w:style>
  <w:style w:type="character" w:customStyle="1" w:styleId="CommentSubjectChar">
    <w:name w:val="Comment Subject Char"/>
    <w:basedOn w:val="CommentTextChar"/>
    <w:link w:val="CommentSubject"/>
    <w:uiPriority w:val="99"/>
    <w:semiHidden/>
    <w:rsid w:val="005A2A17"/>
    <w:rPr>
      <w:b/>
      <w:bCs/>
      <w:sz w:val="20"/>
      <w:szCs w:val="20"/>
    </w:rPr>
  </w:style>
  <w:style w:type="paragraph" w:styleId="BalloonText">
    <w:name w:val="Balloon Text"/>
    <w:basedOn w:val="Normal"/>
    <w:link w:val="BalloonTextChar"/>
    <w:uiPriority w:val="99"/>
    <w:semiHidden/>
    <w:unhideWhenUsed/>
    <w:rsid w:val="005A2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17"/>
    <w:rPr>
      <w:rFonts w:ascii="Segoe UI" w:hAnsi="Segoe UI" w:cs="Segoe UI"/>
      <w:sz w:val="18"/>
      <w:szCs w:val="18"/>
    </w:rPr>
  </w:style>
  <w:style w:type="paragraph" w:styleId="ListParagraph">
    <w:name w:val="List Paragraph"/>
    <w:basedOn w:val="Normal"/>
    <w:link w:val="ListParagraphChar"/>
    <w:uiPriority w:val="99"/>
    <w:qFormat/>
    <w:rsid w:val="00C404C0"/>
    <w:pPr>
      <w:ind w:left="720"/>
      <w:contextualSpacing/>
    </w:pPr>
  </w:style>
  <w:style w:type="character" w:customStyle="1" w:styleId="Heading1Char">
    <w:name w:val="Heading 1 Char"/>
    <w:basedOn w:val="DefaultParagraphFont"/>
    <w:link w:val="Heading1"/>
    <w:uiPriority w:val="9"/>
    <w:rsid w:val="000C38C4"/>
    <w:rPr>
      <w:rFonts w:asciiTheme="majorHAnsi" w:eastAsiaTheme="majorEastAsia" w:hAnsiTheme="majorHAnsi" w:cstheme="majorBidi"/>
      <w:color w:val="004C4C" w:themeColor="accent1" w:themeShade="BF"/>
      <w:sz w:val="32"/>
      <w:szCs w:val="32"/>
    </w:rPr>
  </w:style>
  <w:style w:type="paragraph" w:styleId="TOCHeading">
    <w:name w:val="TOC Heading"/>
    <w:basedOn w:val="Heading1"/>
    <w:next w:val="Normal"/>
    <w:uiPriority w:val="39"/>
    <w:unhideWhenUsed/>
    <w:qFormat/>
    <w:rsid w:val="000C38C4"/>
    <w:pPr>
      <w:outlineLvl w:val="9"/>
    </w:pPr>
  </w:style>
  <w:style w:type="paragraph" w:styleId="TOC1">
    <w:name w:val="toc 1"/>
    <w:basedOn w:val="Normal"/>
    <w:next w:val="Normal"/>
    <w:autoRedefine/>
    <w:uiPriority w:val="39"/>
    <w:unhideWhenUsed/>
    <w:rsid w:val="000C38C4"/>
    <w:pPr>
      <w:spacing w:after="100"/>
    </w:pPr>
  </w:style>
  <w:style w:type="character" w:customStyle="1" w:styleId="Heading2Char">
    <w:name w:val="Heading 2 Char"/>
    <w:basedOn w:val="DefaultParagraphFont"/>
    <w:link w:val="Heading2"/>
    <w:uiPriority w:val="9"/>
    <w:rsid w:val="000C38C4"/>
    <w:rPr>
      <w:rFonts w:asciiTheme="majorHAnsi" w:eastAsiaTheme="majorEastAsia" w:hAnsiTheme="majorHAnsi" w:cstheme="majorBidi"/>
      <w:color w:val="004C4C" w:themeColor="accent1" w:themeShade="BF"/>
      <w:sz w:val="26"/>
      <w:szCs w:val="26"/>
    </w:rPr>
  </w:style>
  <w:style w:type="paragraph" w:styleId="TOC2">
    <w:name w:val="toc 2"/>
    <w:basedOn w:val="Normal"/>
    <w:next w:val="Normal"/>
    <w:autoRedefine/>
    <w:uiPriority w:val="39"/>
    <w:unhideWhenUsed/>
    <w:rsid w:val="00D17EAF"/>
    <w:pPr>
      <w:spacing w:after="100"/>
      <w:ind w:left="220"/>
    </w:pPr>
  </w:style>
  <w:style w:type="character" w:customStyle="1" w:styleId="Heading3Char">
    <w:name w:val="Heading 3 Char"/>
    <w:basedOn w:val="DefaultParagraphFont"/>
    <w:link w:val="Heading3"/>
    <w:uiPriority w:val="9"/>
    <w:rsid w:val="00D17EAF"/>
    <w:rPr>
      <w:rFonts w:asciiTheme="majorHAnsi" w:eastAsiaTheme="majorEastAsia" w:hAnsiTheme="majorHAnsi" w:cstheme="majorBidi"/>
      <w:color w:val="003232" w:themeColor="accent1" w:themeShade="7F"/>
      <w:sz w:val="24"/>
      <w:szCs w:val="24"/>
    </w:rPr>
  </w:style>
  <w:style w:type="paragraph" w:styleId="TOC3">
    <w:name w:val="toc 3"/>
    <w:basedOn w:val="Normal"/>
    <w:next w:val="Normal"/>
    <w:autoRedefine/>
    <w:uiPriority w:val="39"/>
    <w:unhideWhenUsed/>
    <w:rsid w:val="00D17EAF"/>
    <w:pPr>
      <w:spacing w:after="100"/>
      <w:ind w:left="440"/>
    </w:pPr>
  </w:style>
  <w:style w:type="character" w:styleId="FollowedHyperlink">
    <w:name w:val="FollowedHyperlink"/>
    <w:basedOn w:val="DefaultParagraphFont"/>
    <w:uiPriority w:val="99"/>
    <w:semiHidden/>
    <w:unhideWhenUsed/>
    <w:rsid w:val="007239A3"/>
    <w:rPr>
      <w:color w:val="954F72" w:themeColor="followedHyperlink"/>
      <w:u w:val="single"/>
    </w:rPr>
  </w:style>
  <w:style w:type="table" w:styleId="TableGrid">
    <w:name w:val="Table Grid"/>
    <w:basedOn w:val="TableNormal"/>
    <w:uiPriority w:val="59"/>
    <w:rsid w:val="005229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7934"/>
    <w:pPr>
      <w:spacing w:before="100" w:beforeAutospacing="1" w:after="100" w:afterAutospacing="1" w:line="240" w:lineRule="auto"/>
    </w:pPr>
    <w:rPr>
      <w:rFonts w:ascii="Times New Roman" w:hAnsi="Times New Roman" w:cs="Times New Roman"/>
      <w:sz w:val="24"/>
      <w:szCs w:val="24"/>
    </w:rPr>
  </w:style>
  <w:style w:type="paragraph" w:styleId="IntenseQuote">
    <w:name w:val="Intense Quote"/>
    <w:basedOn w:val="Normal"/>
    <w:next w:val="Normal"/>
    <w:link w:val="IntenseQuoteChar"/>
    <w:uiPriority w:val="30"/>
    <w:qFormat/>
    <w:rsid w:val="00307934"/>
    <w:pPr>
      <w:pBdr>
        <w:bottom w:val="single" w:sz="4" w:space="4" w:color="006666" w:themeColor="accent1"/>
      </w:pBdr>
      <w:spacing w:before="200" w:after="280" w:line="240" w:lineRule="auto"/>
      <w:ind w:left="936" w:right="936"/>
    </w:pPr>
    <w:rPr>
      <w:rFonts w:ascii="Times New Roman" w:hAnsi="Times New Roman" w:cs="Times New Roman"/>
      <w:b/>
      <w:bCs/>
      <w:i/>
      <w:iCs/>
      <w:color w:val="006666" w:themeColor="accent1"/>
      <w:sz w:val="24"/>
      <w:szCs w:val="24"/>
    </w:rPr>
  </w:style>
  <w:style w:type="character" w:customStyle="1" w:styleId="IntenseQuoteChar">
    <w:name w:val="Intense Quote Char"/>
    <w:basedOn w:val="DefaultParagraphFont"/>
    <w:link w:val="IntenseQuote"/>
    <w:uiPriority w:val="30"/>
    <w:rsid w:val="00307934"/>
    <w:rPr>
      <w:rFonts w:ascii="Times New Roman" w:hAnsi="Times New Roman" w:cs="Times New Roman"/>
      <w:b/>
      <w:bCs/>
      <w:i/>
      <w:iCs/>
      <w:color w:val="006666" w:themeColor="accent1"/>
      <w:sz w:val="24"/>
      <w:szCs w:val="24"/>
    </w:rPr>
  </w:style>
  <w:style w:type="paragraph" w:styleId="Header">
    <w:name w:val="header"/>
    <w:basedOn w:val="Normal"/>
    <w:link w:val="HeaderChar"/>
    <w:uiPriority w:val="99"/>
    <w:unhideWhenUsed/>
    <w:rsid w:val="00105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A96"/>
  </w:style>
  <w:style w:type="paragraph" w:styleId="Footer">
    <w:name w:val="footer"/>
    <w:basedOn w:val="Normal"/>
    <w:link w:val="FooterChar"/>
    <w:uiPriority w:val="99"/>
    <w:unhideWhenUsed/>
    <w:rsid w:val="00105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A96"/>
  </w:style>
  <w:style w:type="table" w:customStyle="1" w:styleId="LightGrid-Accent11">
    <w:name w:val="Light Grid - Accent 11"/>
    <w:basedOn w:val="TableNormal"/>
    <w:uiPriority w:val="62"/>
    <w:rsid w:val="00E7728D"/>
    <w:pPr>
      <w:spacing w:after="0" w:line="240" w:lineRule="auto"/>
    </w:pPr>
    <w:tblPr>
      <w:tblStyleRowBandSize w:val="1"/>
      <w:tblStyleColBandSize w:val="1"/>
      <w:tblBorders>
        <w:top w:val="single" w:sz="8" w:space="0" w:color="006666" w:themeColor="accent1"/>
        <w:left w:val="single" w:sz="8" w:space="0" w:color="006666" w:themeColor="accent1"/>
        <w:bottom w:val="single" w:sz="8" w:space="0" w:color="006666" w:themeColor="accent1"/>
        <w:right w:val="single" w:sz="8" w:space="0" w:color="006666" w:themeColor="accent1"/>
        <w:insideH w:val="single" w:sz="8" w:space="0" w:color="006666" w:themeColor="accent1"/>
        <w:insideV w:val="single" w:sz="8" w:space="0" w:color="0066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66" w:themeColor="accent1"/>
          <w:left w:val="single" w:sz="8" w:space="0" w:color="006666" w:themeColor="accent1"/>
          <w:bottom w:val="single" w:sz="18" w:space="0" w:color="006666" w:themeColor="accent1"/>
          <w:right w:val="single" w:sz="8" w:space="0" w:color="006666" w:themeColor="accent1"/>
          <w:insideH w:val="nil"/>
          <w:insideV w:val="single" w:sz="8" w:space="0" w:color="0066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66" w:themeColor="accent1"/>
          <w:left w:val="single" w:sz="8" w:space="0" w:color="006666" w:themeColor="accent1"/>
          <w:bottom w:val="single" w:sz="8" w:space="0" w:color="006666" w:themeColor="accent1"/>
          <w:right w:val="single" w:sz="8" w:space="0" w:color="006666" w:themeColor="accent1"/>
          <w:insideH w:val="nil"/>
          <w:insideV w:val="single" w:sz="8" w:space="0" w:color="0066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tblStylePr w:type="band1Vert">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shd w:val="clear" w:color="auto" w:fill="9AFFFF" w:themeFill="accent1" w:themeFillTint="3F"/>
      </w:tcPr>
    </w:tblStylePr>
    <w:tblStylePr w:type="band1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insideV w:val="single" w:sz="8" w:space="0" w:color="006666" w:themeColor="accent1"/>
        </w:tcBorders>
        <w:shd w:val="clear" w:color="auto" w:fill="9AFFFF" w:themeFill="accent1" w:themeFillTint="3F"/>
      </w:tcPr>
    </w:tblStylePr>
    <w:tblStylePr w:type="band2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insideV w:val="single" w:sz="8" w:space="0" w:color="006666" w:themeColor="accent1"/>
        </w:tcBorders>
      </w:tcPr>
    </w:tblStylePr>
  </w:style>
  <w:style w:type="paragraph" w:styleId="DocumentMap">
    <w:name w:val="Document Map"/>
    <w:basedOn w:val="Normal"/>
    <w:link w:val="DocumentMapChar"/>
    <w:uiPriority w:val="99"/>
    <w:semiHidden/>
    <w:unhideWhenUsed/>
    <w:rsid w:val="0008024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0240"/>
    <w:rPr>
      <w:rFonts w:ascii="Tahoma" w:hAnsi="Tahoma" w:cs="Tahoma"/>
      <w:sz w:val="16"/>
      <w:szCs w:val="16"/>
    </w:rPr>
  </w:style>
  <w:style w:type="paragraph" w:styleId="Revision">
    <w:name w:val="Revision"/>
    <w:hidden/>
    <w:uiPriority w:val="99"/>
    <w:semiHidden/>
    <w:rsid w:val="00A95DB9"/>
    <w:pPr>
      <w:spacing w:after="0" w:line="240" w:lineRule="auto"/>
    </w:pPr>
  </w:style>
  <w:style w:type="paragraph" w:customStyle="1" w:styleId="Normal1">
    <w:name w:val="Normal1"/>
    <w:rsid w:val="00565CF5"/>
    <w:pPr>
      <w:spacing w:before="200" w:after="200" w:line="276" w:lineRule="auto"/>
    </w:pPr>
    <w:rPr>
      <w:rFonts w:eastAsiaTheme="minorEastAsia"/>
      <w:lang w:bidi="en-US"/>
    </w:rPr>
  </w:style>
  <w:style w:type="character" w:customStyle="1" w:styleId="ListParagraphChar">
    <w:name w:val="List Paragraph Char"/>
    <w:basedOn w:val="DefaultParagraphFont"/>
    <w:link w:val="ListParagraph"/>
    <w:uiPriority w:val="99"/>
    <w:rsid w:val="00CB4134"/>
  </w:style>
  <w:style w:type="paragraph" w:styleId="Title">
    <w:name w:val="Title"/>
    <w:basedOn w:val="Normal"/>
    <w:next w:val="Normal"/>
    <w:link w:val="TitleChar"/>
    <w:uiPriority w:val="10"/>
    <w:qFormat/>
    <w:rsid w:val="00521CA3"/>
    <w:pPr>
      <w:pBdr>
        <w:bottom w:val="single" w:sz="8" w:space="4" w:color="006666" w:themeColor="accent1"/>
      </w:pBdr>
      <w:spacing w:after="300" w:line="240" w:lineRule="auto"/>
      <w:contextualSpacing/>
    </w:pPr>
    <w:rPr>
      <w:rFonts w:asciiTheme="majorHAnsi" w:eastAsiaTheme="majorEastAsia" w:hAnsiTheme="majorHAnsi" w:cstheme="majorBidi"/>
      <w:color w:val="BFBFBF" w:themeColor="text2" w:themeShade="BF"/>
      <w:spacing w:val="5"/>
      <w:kern w:val="28"/>
      <w:sz w:val="52"/>
      <w:szCs w:val="52"/>
    </w:rPr>
  </w:style>
  <w:style w:type="character" w:customStyle="1" w:styleId="TitleChar">
    <w:name w:val="Title Char"/>
    <w:basedOn w:val="DefaultParagraphFont"/>
    <w:link w:val="Title"/>
    <w:uiPriority w:val="10"/>
    <w:rsid w:val="00521CA3"/>
    <w:rPr>
      <w:rFonts w:asciiTheme="majorHAnsi" w:eastAsiaTheme="majorEastAsia" w:hAnsiTheme="majorHAnsi" w:cstheme="majorBidi"/>
      <w:color w:val="BFBFBF" w:themeColor="text2" w:themeShade="BF"/>
      <w:spacing w:val="5"/>
      <w:kern w:val="28"/>
      <w:sz w:val="52"/>
      <w:szCs w:val="52"/>
    </w:rPr>
  </w:style>
  <w:style w:type="paragraph" w:styleId="Subtitle">
    <w:name w:val="Subtitle"/>
    <w:basedOn w:val="Normal"/>
    <w:next w:val="Normal"/>
    <w:link w:val="SubtitleChar"/>
    <w:uiPriority w:val="11"/>
    <w:qFormat/>
    <w:rsid w:val="00521CA3"/>
    <w:pPr>
      <w:numPr>
        <w:ilvl w:val="1"/>
      </w:numPr>
    </w:pPr>
    <w:rPr>
      <w:rFonts w:asciiTheme="majorHAnsi" w:eastAsiaTheme="majorEastAsia" w:hAnsiTheme="majorHAnsi" w:cstheme="majorBidi"/>
      <w:i/>
      <w:iCs/>
      <w:color w:val="006666" w:themeColor="accent1"/>
      <w:spacing w:val="15"/>
      <w:sz w:val="24"/>
      <w:szCs w:val="24"/>
    </w:rPr>
  </w:style>
  <w:style w:type="character" w:customStyle="1" w:styleId="SubtitleChar">
    <w:name w:val="Subtitle Char"/>
    <w:basedOn w:val="DefaultParagraphFont"/>
    <w:link w:val="Subtitle"/>
    <w:uiPriority w:val="11"/>
    <w:rsid w:val="00521CA3"/>
    <w:rPr>
      <w:rFonts w:asciiTheme="majorHAnsi" w:eastAsiaTheme="majorEastAsia" w:hAnsiTheme="majorHAnsi" w:cstheme="majorBidi"/>
      <w:i/>
      <w:iCs/>
      <w:color w:val="006666" w:themeColor="accent1"/>
      <w:spacing w:val="15"/>
      <w:sz w:val="24"/>
      <w:szCs w:val="24"/>
    </w:rPr>
  </w:style>
  <w:style w:type="character" w:styleId="Emphasis">
    <w:name w:val="Emphasis"/>
    <w:basedOn w:val="DefaultParagraphFont"/>
    <w:uiPriority w:val="20"/>
    <w:qFormat/>
    <w:rsid w:val="0076718D"/>
    <w:rPr>
      <w:i/>
      <w:iCs/>
    </w:rPr>
  </w:style>
  <w:style w:type="paragraph" w:styleId="NoSpacing">
    <w:name w:val="No Spacing"/>
    <w:uiPriority w:val="1"/>
    <w:qFormat/>
    <w:rsid w:val="00326F42"/>
    <w:pPr>
      <w:spacing w:after="0" w:line="240" w:lineRule="auto"/>
    </w:pPr>
  </w:style>
  <w:style w:type="character" w:customStyle="1" w:styleId="Heading4Char">
    <w:name w:val="Heading 4 Char"/>
    <w:basedOn w:val="DefaultParagraphFont"/>
    <w:link w:val="Heading4"/>
    <w:uiPriority w:val="9"/>
    <w:rsid w:val="00B6193E"/>
    <w:rPr>
      <w:rFonts w:asciiTheme="majorHAnsi" w:eastAsiaTheme="majorEastAsia" w:hAnsiTheme="majorHAnsi" w:cstheme="majorBidi"/>
      <w:b/>
      <w:bCs/>
      <w:i/>
      <w:iCs/>
      <w:color w:val="006666" w:themeColor="accent1"/>
    </w:rPr>
  </w:style>
  <w:style w:type="table" w:customStyle="1" w:styleId="LightList-Accent11">
    <w:name w:val="Light List - Accent 11"/>
    <w:basedOn w:val="TableNormal"/>
    <w:uiPriority w:val="61"/>
    <w:rsid w:val="00282C0B"/>
    <w:pPr>
      <w:spacing w:after="0" w:line="240" w:lineRule="auto"/>
    </w:pPr>
    <w:tblPr>
      <w:tblStyleRowBandSize w:val="1"/>
      <w:tblStyleColBandSize w:val="1"/>
      <w:tblBorders>
        <w:top w:val="single" w:sz="8" w:space="0" w:color="006666" w:themeColor="accent1"/>
        <w:left w:val="single" w:sz="8" w:space="0" w:color="006666" w:themeColor="accent1"/>
        <w:bottom w:val="single" w:sz="8" w:space="0" w:color="006666" w:themeColor="accent1"/>
        <w:right w:val="single" w:sz="8" w:space="0" w:color="006666" w:themeColor="accent1"/>
      </w:tblBorders>
    </w:tblPr>
    <w:tblStylePr w:type="firstRow">
      <w:pPr>
        <w:spacing w:before="0" w:after="0" w:line="240" w:lineRule="auto"/>
      </w:pPr>
      <w:rPr>
        <w:b/>
        <w:bCs/>
        <w:color w:val="FFFFFF" w:themeColor="background1"/>
      </w:rPr>
      <w:tblPr/>
      <w:tcPr>
        <w:shd w:val="clear" w:color="auto" w:fill="006666" w:themeFill="accent1"/>
      </w:tcPr>
    </w:tblStylePr>
    <w:tblStylePr w:type="lastRow">
      <w:pPr>
        <w:spacing w:before="0" w:after="0" w:line="240" w:lineRule="auto"/>
      </w:pPr>
      <w:rPr>
        <w:b/>
        <w:bCs/>
      </w:rPr>
      <w:tblPr/>
      <w:tcPr>
        <w:tcBorders>
          <w:top w:val="double" w:sz="6" w:space="0" w:color="006666" w:themeColor="accent1"/>
          <w:left w:val="single" w:sz="8" w:space="0" w:color="006666" w:themeColor="accent1"/>
          <w:bottom w:val="single" w:sz="8" w:space="0" w:color="006666" w:themeColor="accent1"/>
          <w:right w:val="single" w:sz="8" w:space="0" w:color="006666" w:themeColor="accent1"/>
        </w:tcBorders>
      </w:tcPr>
    </w:tblStylePr>
    <w:tblStylePr w:type="firstCol">
      <w:rPr>
        <w:b/>
        <w:bCs/>
      </w:rPr>
    </w:tblStylePr>
    <w:tblStylePr w:type="lastCol">
      <w:rPr>
        <w:b/>
        <w:bCs/>
      </w:rPr>
    </w:tblStylePr>
    <w:tblStylePr w:type="band1Vert">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tblStylePr w:type="band1Horz">
      <w:tblPr/>
      <w:tcPr>
        <w:tcBorders>
          <w:top w:val="single" w:sz="8" w:space="0" w:color="006666" w:themeColor="accent1"/>
          <w:left w:val="single" w:sz="8" w:space="0" w:color="006666" w:themeColor="accent1"/>
          <w:bottom w:val="single" w:sz="8" w:space="0" w:color="006666" w:themeColor="accent1"/>
          <w:right w:val="single" w:sz="8" w:space="0" w:color="006666" w:themeColor="accent1"/>
        </w:tcBorders>
      </w:tcPr>
    </w:tblStylePr>
  </w:style>
  <w:style w:type="table" w:styleId="LightList-Accent4">
    <w:name w:val="Light List Accent 4"/>
    <w:basedOn w:val="TableNormal"/>
    <w:uiPriority w:val="61"/>
    <w:rsid w:val="00282C0B"/>
    <w:pPr>
      <w:spacing w:after="0" w:line="240" w:lineRule="auto"/>
    </w:pPr>
    <w:tblPr>
      <w:tblStyleRowBandSize w:val="1"/>
      <w:tblStyleColBandSize w:val="1"/>
      <w:tblBorders>
        <w:top w:val="single" w:sz="8" w:space="0" w:color="006666" w:themeColor="accent4"/>
        <w:left w:val="single" w:sz="8" w:space="0" w:color="006666" w:themeColor="accent4"/>
        <w:bottom w:val="single" w:sz="8" w:space="0" w:color="006666" w:themeColor="accent4"/>
        <w:right w:val="single" w:sz="8" w:space="0" w:color="006666" w:themeColor="accent4"/>
      </w:tblBorders>
    </w:tblPr>
    <w:tblStylePr w:type="firstRow">
      <w:pPr>
        <w:spacing w:before="0" w:after="0" w:line="240" w:lineRule="auto"/>
      </w:pPr>
      <w:rPr>
        <w:b/>
        <w:bCs/>
        <w:color w:val="FFFFFF" w:themeColor="background1"/>
      </w:rPr>
      <w:tblPr/>
      <w:tcPr>
        <w:shd w:val="clear" w:color="auto" w:fill="006666" w:themeFill="accent4"/>
      </w:tcPr>
    </w:tblStylePr>
    <w:tblStylePr w:type="lastRow">
      <w:pPr>
        <w:spacing w:before="0" w:after="0" w:line="240" w:lineRule="auto"/>
      </w:pPr>
      <w:rPr>
        <w:b/>
        <w:bCs/>
      </w:rPr>
      <w:tblPr/>
      <w:tcPr>
        <w:tcBorders>
          <w:top w:val="double" w:sz="6" w:space="0" w:color="006666" w:themeColor="accent4"/>
          <w:left w:val="single" w:sz="8" w:space="0" w:color="006666" w:themeColor="accent4"/>
          <w:bottom w:val="single" w:sz="8" w:space="0" w:color="006666" w:themeColor="accent4"/>
          <w:right w:val="single" w:sz="8" w:space="0" w:color="006666" w:themeColor="accent4"/>
        </w:tcBorders>
      </w:tcPr>
    </w:tblStylePr>
    <w:tblStylePr w:type="firstCol">
      <w:rPr>
        <w:b/>
        <w:bCs/>
      </w:rPr>
    </w:tblStylePr>
    <w:tblStylePr w:type="lastCol">
      <w:rPr>
        <w:b/>
        <w:bCs/>
      </w:rPr>
    </w:tblStylePr>
    <w:tblStylePr w:type="band1Vert">
      <w:tblPr/>
      <w:tcPr>
        <w:tcBorders>
          <w:top w:val="single" w:sz="8" w:space="0" w:color="006666" w:themeColor="accent4"/>
          <w:left w:val="single" w:sz="8" w:space="0" w:color="006666" w:themeColor="accent4"/>
          <w:bottom w:val="single" w:sz="8" w:space="0" w:color="006666" w:themeColor="accent4"/>
          <w:right w:val="single" w:sz="8" w:space="0" w:color="006666" w:themeColor="accent4"/>
        </w:tcBorders>
      </w:tcPr>
    </w:tblStylePr>
    <w:tblStylePr w:type="band1Horz">
      <w:tblPr/>
      <w:tcPr>
        <w:tcBorders>
          <w:top w:val="single" w:sz="8" w:space="0" w:color="006666" w:themeColor="accent4"/>
          <w:left w:val="single" w:sz="8" w:space="0" w:color="006666" w:themeColor="accent4"/>
          <w:bottom w:val="single" w:sz="8" w:space="0" w:color="006666" w:themeColor="accent4"/>
          <w:right w:val="single" w:sz="8" w:space="0" w:color="006666" w:themeColor="accent4"/>
        </w:tcBorders>
      </w:tcPr>
    </w:tblStylePr>
  </w:style>
  <w:style w:type="table" w:styleId="LightList-Accent3">
    <w:name w:val="Light List Accent 3"/>
    <w:basedOn w:val="TableNormal"/>
    <w:uiPriority w:val="61"/>
    <w:rsid w:val="00282C0B"/>
    <w:pPr>
      <w:spacing w:after="0" w:line="240" w:lineRule="auto"/>
    </w:pPr>
    <w:tblPr>
      <w:tblStyleRowBandSize w:val="1"/>
      <w:tblStyleColBandSize w:val="1"/>
      <w:tblBorders>
        <w:top w:val="single" w:sz="8" w:space="0" w:color="006666" w:themeColor="accent3"/>
        <w:left w:val="single" w:sz="8" w:space="0" w:color="006666" w:themeColor="accent3"/>
        <w:bottom w:val="single" w:sz="8" w:space="0" w:color="006666" w:themeColor="accent3"/>
        <w:right w:val="single" w:sz="8" w:space="0" w:color="006666" w:themeColor="accent3"/>
      </w:tblBorders>
    </w:tblPr>
    <w:tblStylePr w:type="firstRow">
      <w:pPr>
        <w:spacing w:before="0" w:after="0" w:line="240" w:lineRule="auto"/>
      </w:pPr>
      <w:rPr>
        <w:b/>
        <w:bCs/>
        <w:color w:val="FFFFFF" w:themeColor="background1"/>
      </w:rPr>
      <w:tblPr/>
      <w:tcPr>
        <w:shd w:val="clear" w:color="auto" w:fill="006666" w:themeFill="accent3"/>
      </w:tcPr>
    </w:tblStylePr>
    <w:tblStylePr w:type="lastRow">
      <w:pPr>
        <w:spacing w:before="0" w:after="0" w:line="240" w:lineRule="auto"/>
      </w:pPr>
      <w:rPr>
        <w:b/>
        <w:bCs/>
      </w:rPr>
      <w:tblPr/>
      <w:tcPr>
        <w:tcBorders>
          <w:top w:val="double" w:sz="6" w:space="0" w:color="006666" w:themeColor="accent3"/>
          <w:left w:val="single" w:sz="8" w:space="0" w:color="006666" w:themeColor="accent3"/>
          <w:bottom w:val="single" w:sz="8" w:space="0" w:color="006666" w:themeColor="accent3"/>
          <w:right w:val="single" w:sz="8" w:space="0" w:color="006666" w:themeColor="accent3"/>
        </w:tcBorders>
      </w:tcPr>
    </w:tblStylePr>
    <w:tblStylePr w:type="firstCol">
      <w:rPr>
        <w:b/>
        <w:bCs/>
      </w:rPr>
    </w:tblStylePr>
    <w:tblStylePr w:type="lastCol">
      <w:rPr>
        <w:b/>
        <w:bCs/>
      </w:rPr>
    </w:tblStylePr>
    <w:tblStylePr w:type="band1Vert">
      <w:tblPr/>
      <w:tcPr>
        <w:tcBorders>
          <w:top w:val="single" w:sz="8" w:space="0" w:color="006666" w:themeColor="accent3"/>
          <w:left w:val="single" w:sz="8" w:space="0" w:color="006666" w:themeColor="accent3"/>
          <w:bottom w:val="single" w:sz="8" w:space="0" w:color="006666" w:themeColor="accent3"/>
          <w:right w:val="single" w:sz="8" w:space="0" w:color="006666" w:themeColor="accent3"/>
        </w:tcBorders>
      </w:tcPr>
    </w:tblStylePr>
    <w:tblStylePr w:type="band1Horz">
      <w:tblPr/>
      <w:tcPr>
        <w:tcBorders>
          <w:top w:val="single" w:sz="8" w:space="0" w:color="006666" w:themeColor="accent3"/>
          <w:left w:val="single" w:sz="8" w:space="0" w:color="006666" w:themeColor="accent3"/>
          <w:bottom w:val="single" w:sz="8" w:space="0" w:color="006666" w:themeColor="accent3"/>
          <w:right w:val="single" w:sz="8" w:space="0" w:color="006666" w:themeColor="accent3"/>
        </w:tcBorders>
      </w:tcPr>
    </w:tblStylePr>
  </w:style>
  <w:style w:type="table" w:styleId="LightShading-Accent6">
    <w:name w:val="Light Shading Accent 6"/>
    <w:basedOn w:val="TableNormal"/>
    <w:uiPriority w:val="60"/>
    <w:rsid w:val="00282C0B"/>
    <w:pPr>
      <w:spacing w:after="0" w:line="240" w:lineRule="auto"/>
    </w:pPr>
    <w:rPr>
      <w:color w:val="004C4C" w:themeColor="accent6" w:themeShade="BF"/>
    </w:rPr>
    <w:tblPr>
      <w:tblStyleRowBandSize w:val="1"/>
      <w:tblStyleColBandSize w:val="1"/>
      <w:tblBorders>
        <w:top w:val="single" w:sz="8" w:space="0" w:color="006666" w:themeColor="accent6"/>
        <w:bottom w:val="single" w:sz="8" w:space="0" w:color="006666" w:themeColor="accent6"/>
      </w:tblBorders>
    </w:tblPr>
    <w:tblStylePr w:type="firstRow">
      <w:pPr>
        <w:spacing w:before="0" w:after="0" w:line="240" w:lineRule="auto"/>
      </w:pPr>
      <w:rPr>
        <w:b/>
        <w:bCs/>
      </w:rPr>
      <w:tblPr/>
      <w:tcPr>
        <w:tcBorders>
          <w:top w:val="single" w:sz="8" w:space="0" w:color="006666" w:themeColor="accent6"/>
          <w:left w:val="nil"/>
          <w:bottom w:val="single" w:sz="8" w:space="0" w:color="006666" w:themeColor="accent6"/>
          <w:right w:val="nil"/>
          <w:insideH w:val="nil"/>
          <w:insideV w:val="nil"/>
        </w:tcBorders>
      </w:tcPr>
    </w:tblStylePr>
    <w:tblStylePr w:type="lastRow">
      <w:pPr>
        <w:spacing w:before="0" w:after="0" w:line="240" w:lineRule="auto"/>
      </w:pPr>
      <w:rPr>
        <w:b/>
        <w:bCs/>
      </w:rPr>
      <w:tblPr/>
      <w:tcPr>
        <w:tcBorders>
          <w:top w:val="single" w:sz="8" w:space="0" w:color="006666" w:themeColor="accent6"/>
          <w:left w:val="nil"/>
          <w:bottom w:val="single" w:sz="8" w:space="0" w:color="0066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6" w:themeFillTint="3F"/>
      </w:tcPr>
    </w:tblStylePr>
    <w:tblStylePr w:type="band1Horz">
      <w:tblPr/>
      <w:tcPr>
        <w:tcBorders>
          <w:left w:val="nil"/>
          <w:right w:val="nil"/>
          <w:insideH w:val="nil"/>
          <w:insideV w:val="nil"/>
        </w:tcBorders>
        <w:shd w:val="clear" w:color="auto" w:fill="9AFFFF" w:themeFill="accent6" w:themeFillTint="3F"/>
      </w:tcPr>
    </w:tblStylePr>
  </w:style>
  <w:style w:type="table" w:styleId="LightShading-Accent4">
    <w:name w:val="Light Shading Accent 4"/>
    <w:basedOn w:val="TableNormal"/>
    <w:uiPriority w:val="60"/>
    <w:rsid w:val="00282C0B"/>
    <w:pPr>
      <w:spacing w:after="0" w:line="240" w:lineRule="auto"/>
    </w:pPr>
    <w:rPr>
      <w:color w:val="004C4C" w:themeColor="accent4" w:themeShade="BF"/>
    </w:rPr>
    <w:tblPr>
      <w:tblStyleRowBandSize w:val="1"/>
      <w:tblStyleColBandSize w:val="1"/>
      <w:tblBorders>
        <w:top w:val="single" w:sz="8" w:space="0" w:color="006666" w:themeColor="accent4"/>
        <w:bottom w:val="single" w:sz="8" w:space="0" w:color="006666" w:themeColor="accent4"/>
      </w:tblBorders>
    </w:tblPr>
    <w:tblStylePr w:type="firstRow">
      <w:pPr>
        <w:spacing w:before="0" w:after="0" w:line="240" w:lineRule="auto"/>
      </w:pPr>
      <w:rPr>
        <w:b/>
        <w:bCs/>
      </w:rPr>
      <w:tblPr/>
      <w:tcPr>
        <w:tcBorders>
          <w:top w:val="single" w:sz="8" w:space="0" w:color="006666" w:themeColor="accent4"/>
          <w:left w:val="nil"/>
          <w:bottom w:val="single" w:sz="8" w:space="0" w:color="006666" w:themeColor="accent4"/>
          <w:right w:val="nil"/>
          <w:insideH w:val="nil"/>
          <w:insideV w:val="nil"/>
        </w:tcBorders>
      </w:tcPr>
    </w:tblStylePr>
    <w:tblStylePr w:type="lastRow">
      <w:pPr>
        <w:spacing w:before="0" w:after="0" w:line="240" w:lineRule="auto"/>
      </w:pPr>
      <w:rPr>
        <w:b/>
        <w:bCs/>
      </w:rPr>
      <w:tblPr/>
      <w:tcPr>
        <w:tcBorders>
          <w:top w:val="single" w:sz="8" w:space="0" w:color="006666" w:themeColor="accent4"/>
          <w:left w:val="nil"/>
          <w:bottom w:val="single" w:sz="8" w:space="0" w:color="00666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4" w:themeFillTint="3F"/>
      </w:tcPr>
    </w:tblStylePr>
    <w:tblStylePr w:type="band1Horz">
      <w:tblPr/>
      <w:tcPr>
        <w:tcBorders>
          <w:left w:val="nil"/>
          <w:right w:val="nil"/>
          <w:insideH w:val="nil"/>
          <w:insideV w:val="nil"/>
        </w:tcBorders>
        <w:shd w:val="clear" w:color="auto" w:fill="9AFFFF" w:themeFill="accent4" w:themeFillTint="3F"/>
      </w:tcPr>
    </w:tblStylePr>
  </w:style>
  <w:style w:type="table" w:customStyle="1" w:styleId="LightShading-Accent11">
    <w:name w:val="Light Shading - Accent 11"/>
    <w:basedOn w:val="TableNormal"/>
    <w:uiPriority w:val="60"/>
    <w:rsid w:val="00282C0B"/>
    <w:pPr>
      <w:spacing w:after="0" w:line="240" w:lineRule="auto"/>
    </w:pPr>
    <w:rPr>
      <w:color w:val="004C4C" w:themeColor="accent1" w:themeShade="BF"/>
    </w:rPr>
    <w:tblPr>
      <w:tblStyleRowBandSize w:val="1"/>
      <w:tblStyleColBandSize w:val="1"/>
      <w:tblBorders>
        <w:top w:val="single" w:sz="8" w:space="0" w:color="006666" w:themeColor="accent1"/>
        <w:bottom w:val="single" w:sz="8" w:space="0" w:color="006666" w:themeColor="accent1"/>
      </w:tblBorders>
    </w:tblPr>
    <w:tblStylePr w:type="firstRow">
      <w:pPr>
        <w:spacing w:before="0" w:after="0" w:line="240" w:lineRule="auto"/>
      </w:pPr>
      <w:rPr>
        <w:b/>
        <w:bCs/>
      </w:rPr>
      <w:tblPr/>
      <w:tcPr>
        <w:tcBorders>
          <w:top w:val="single" w:sz="8" w:space="0" w:color="006666" w:themeColor="accent1"/>
          <w:left w:val="nil"/>
          <w:bottom w:val="single" w:sz="8" w:space="0" w:color="006666" w:themeColor="accent1"/>
          <w:right w:val="nil"/>
          <w:insideH w:val="nil"/>
          <w:insideV w:val="nil"/>
        </w:tcBorders>
      </w:tcPr>
    </w:tblStylePr>
    <w:tblStylePr w:type="lastRow">
      <w:pPr>
        <w:spacing w:before="0" w:after="0" w:line="240" w:lineRule="auto"/>
      </w:pPr>
      <w:rPr>
        <w:b/>
        <w:bCs/>
      </w:rPr>
      <w:tblPr/>
      <w:tcPr>
        <w:tcBorders>
          <w:top w:val="single" w:sz="8" w:space="0" w:color="006666" w:themeColor="accent1"/>
          <w:left w:val="nil"/>
          <w:bottom w:val="single" w:sz="8" w:space="0" w:color="0066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1" w:themeFillTint="3F"/>
      </w:tcPr>
    </w:tblStylePr>
    <w:tblStylePr w:type="band1Horz">
      <w:tblPr/>
      <w:tcPr>
        <w:tcBorders>
          <w:left w:val="nil"/>
          <w:right w:val="nil"/>
          <w:insideH w:val="nil"/>
          <w:insideV w:val="nil"/>
        </w:tcBorders>
        <w:shd w:val="clear" w:color="auto" w:fill="9AFFFF" w:themeFill="accent1" w:themeFillTint="3F"/>
      </w:tcPr>
    </w:tblStylePr>
  </w:style>
  <w:style w:type="table" w:styleId="LightShading-Accent2">
    <w:name w:val="Light Shading Accent 2"/>
    <w:basedOn w:val="TableNormal"/>
    <w:uiPriority w:val="60"/>
    <w:rsid w:val="00282C0B"/>
    <w:pPr>
      <w:spacing w:after="0" w:line="240" w:lineRule="auto"/>
    </w:pPr>
    <w:rPr>
      <w:color w:val="004C4C" w:themeColor="accent2" w:themeShade="BF"/>
    </w:rPr>
    <w:tblPr>
      <w:tblStyleRowBandSize w:val="1"/>
      <w:tblStyleColBandSize w:val="1"/>
      <w:tblBorders>
        <w:top w:val="single" w:sz="8" w:space="0" w:color="006666" w:themeColor="accent2"/>
        <w:bottom w:val="single" w:sz="8" w:space="0" w:color="006666" w:themeColor="accent2"/>
      </w:tblBorders>
    </w:tblPr>
    <w:tblStylePr w:type="firstRow">
      <w:pPr>
        <w:spacing w:before="0" w:after="0" w:line="240" w:lineRule="auto"/>
      </w:pPr>
      <w:rPr>
        <w:b/>
        <w:bCs/>
      </w:rPr>
      <w:tblPr/>
      <w:tcPr>
        <w:tcBorders>
          <w:top w:val="single" w:sz="8" w:space="0" w:color="006666" w:themeColor="accent2"/>
          <w:left w:val="nil"/>
          <w:bottom w:val="single" w:sz="8" w:space="0" w:color="006666" w:themeColor="accent2"/>
          <w:right w:val="nil"/>
          <w:insideH w:val="nil"/>
          <w:insideV w:val="nil"/>
        </w:tcBorders>
      </w:tcPr>
    </w:tblStylePr>
    <w:tblStylePr w:type="lastRow">
      <w:pPr>
        <w:spacing w:before="0" w:after="0" w:line="240" w:lineRule="auto"/>
      </w:pPr>
      <w:rPr>
        <w:b/>
        <w:bCs/>
      </w:rPr>
      <w:tblPr/>
      <w:tcPr>
        <w:tcBorders>
          <w:top w:val="single" w:sz="8" w:space="0" w:color="006666" w:themeColor="accent2"/>
          <w:left w:val="nil"/>
          <w:bottom w:val="single" w:sz="8" w:space="0" w:color="0066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FF" w:themeFill="accent2" w:themeFillTint="3F"/>
      </w:tcPr>
    </w:tblStylePr>
    <w:tblStylePr w:type="band1Horz">
      <w:tblPr/>
      <w:tcPr>
        <w:tcBorders>
          <w:left w:val="nil"/>
          <w:right w:val="nil"/>
          <w:insideH w:val="nil"/>
          <w:insideV w:val="nil"/>
        </w:tcBorders>
        <w:shd w:val="clear" w:color="auto" w:fill="9AFFFF" w:themeFill="accent2" w:themeFillTint="3F"/>
      </w:tcPr>
    </w:tblStylePr>
  </w:style>
  <w:style w:type="paragraph" w:styleId="FootnoteText">
    <w:name w:val="footnote text"/>
    <w:basedOn w:val="Normal"/>
    <w:link w:val="FootnoteTextChar"/>
    <w:uiPriority w:val="99"/>
    <w:semiHidden/>
    <w:unhideWhenUsed/>
    <w:rsid w:val="00006F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6FBA"/>
    <w:rPr>
      <w:sz w:val="20"/>
      <w:szCs w:val="20"/>
    </w:rPr>
  </w:style>
  <w:style w:type="character" w:styleId="FootnoteReference">
    <w:name w:val="footnote reference"/>
    <w:basedOn w:val="DefaultParagraphFont"/>
    <w:uiPriority w:val="99"/>
    <w:semiHidden/>
    <w:unhideWhenUsed/>
    <w:rsid w:val="00006FBA"/>
    <w:rPr>
      <w:vertAlign w:val="superscript"/>
    </w:rPr>
  </w:style>
  <w:style w:type="paragraph" w:customStyle="1" w:styleId="Default">
    <w:name w:val="Default"/>
    <w:rsid w:val="00504C35"/>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3F4309"/>
    <w:rPr>
      <w:b/>
      <w:bCs/>
      <w:i/>
      <w:iCs/>
      <w:color w:val="006666" w:themeColor="accent1"/>
    </w:rPr>
  </w:style>
  <w:style w:type="paragraph" w:styleId="Quote">
    <w:name w:val="Quote"/>
    <w:basedOn w:val="Normal"/>
    <w:next w:val="Normal"/>
    <w:link w:val="QuoteChar"/>
    <w:uiPriority w:val="29"/>
    <w:qFormat/>
    <w:rsid w:val="000B4529"/>
    <w:rPr>
      <w:i/>
      <w:iCs/>
      <w:color w:val="FF9900" w:themeColor="text1"/>
    </w:rPr>
  </w:style>
  <w:style w:type="character" w:customStyle="1" w:styleId="QuoteChar">
    <w:name w:val="Quote Char"/>
    <w:basedOn w:val="DefaultParagraphFont"/>
    <w:link w:val="Quote"/>
    <w:uiPriority w:val="29"/>
    <w:rsid w:val="000B4529"/>
    <w:rPr>
      <w:i/>
      <w:iCs/>
      <w:color w:val="FF9900" w:themeColor="text1"/>
    </w:rPr>
  </w:style>
  <w:style w:type="table" w:styleId="MediumShading2-Accent6">
    <w:name w:val="Medium Shading 2 Accent 6"/>
    <w:basedOn w:val="TableNormal"/>
    <w:uiPriority w:val="64"/>
    <w:rsid w:val="000844D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6666" w:themeFill="accent6"/>
      </w:tcPr>
    </w:tblStylePr>
    <w:tblStylePr w:type="lastCol">
      <w:rPr>
        <w:b/>
        <w:bCs/>
        <w:color w:val="FFFFFF" w:themeColor="background1"/>
      </w:rPr>
      <w:tblPr/>
      <w:tcPr>
        <w:tcBorders>
          <w:left w:val="nil"/>
          <w:right w:val="nil"/>
          <w:insideH w:val="nil"/>
          <w:insideV w:val="nil"/>
        </w:tcBorders>
        <w:shd w:val="clear" w:color="auto" w:fill="0066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CD1D5F"/>
    <w:rPr>
      <w:color w:val="2B579A"/>
      <w:shd w:val="clear" w:color="auto" w:fill="E6E6E6"/>
    </w:rPr>
  </w:style>
  <w:style w:type="character" w:styleId="UnresolvedMention">
    <w:name w:val="Unresolved Mention"/>
    <w:basedOn w:val="DefaultParagraphFont"/>
    <w:uiPriority w:val="99"/>
    <w:semiHidden/>
    <w:unhideWhenUsed/>
    <w:rsid w:val="00A554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4398">
      <w:bodyDiv w:val="1"/>
      <w:marLeft w:val="0"/>
      <w:marRight w:val="0"/>
      <w:marTop w:val="0"/>
      <w:marBottom w:val="0"/>
      <w:divBdr>
        <w:top w:val="none" w:sz="0" w:space="0" w:color="auto"/>
        <w:left w:val="none" w:sz="0" w:space="0" w:color="auto"/>
        <w:bottom w:val="none" w:sz="0" w:space="0" w:color="auto"/>
        <w:right w:val="none" w:sz="0" w:space="0" w:color="auto"/>
      </w:divBdr>
    </w:div>
    <w:div w:id="197159408">
      <w:bodyDiv w:val="1"/>
      <w:marLeft w:val="0"/>
      <w:marRight w:val="0"/>
      <w:marTop w:val="0"/>
      <w:marBottom w:val="0"/>
      <w:divBdr>
        <w:top w:val="none" w:sz="0" w:space="0" w:color="auto"/>
        <w:left w:val="none" w:sz="0" w:space="0" w:color="auto"/>
        <w:bottom w:val="none" w:sz="0" w:space="0" w:color="auto"/>
        <w:right w:val="none" w:sz="0" w:space="0" w:color="auto"/>
      </w:divBdr>
    </w:div>
    <w:div w:id="395670276">
      <w:bodyDiv w:val="1"/>
      <w:marLeft w:val="0"/>
      <w:marRight w:val="0"/>
      <w:marTop w:val="0"/>
      <w:marBottom w:val="0"/>
      <w:divBdr>
        <w:top w:val="none" w:sz="0" w:space="0" w:color="auto"/>
        <w:left w:val="none" w:sz="0" w:space="0" w:color="auto"/>
        <w:bottom w:val="none" w:sz="0" w:space="0" w:color="auto"/>
        <w:right w:val="none" w:sz="0" w:space="0" w:color="auto"/>
      </w:divBdr>
    </w:div>
    <w:div w:id="1159928957">
      <w:bodyDiv w:val="1"/>
      <w:marLeft w:val="0"/>
      <w:marRight w:val="0"/>
      <w:marTop w:val="0"/>
      <w:marBottom w:val="0"/>
      <w:divBdr>
        <w:top w:val="none" w:sz="0" w:space="0" w:color="auto"/>
        <w:left w:val="none" w:sz="0" w:space="0" w:color="auto"/>
        <w:bottom w:val="none" w:sz="0" w:space="0" w:color="auto"/>
        <w:right w:val="none" w:sz="0" w:space="0" w:color="auto"/>
      </w:divBdr>
      <w:divsChild>
        <w:div w:id="1574394921">
          <w:marLeft w:val="446"/>
          <w:marRight w:val="0"/>
          <w:marTop w:val="0"/>
          <w:marBottom w:val="0"/>
          <w:divBdr>
            <w:top w:val="none" w:sz="0" w:space="0" w:color="auto"/>
            <w:left w:val="none" w:sz="0" w:space="0" w:color="auto"/>
            <w:bottom w:val="none" w:sz="0" w:space="0" w:color="auto"/>
            <w:right w:val="none" w:sz="0" w:space="0" w:color="auto"/>
          </w:divBdr>
        </w:div>
      </w:divsChild>
    </w:div>
    <w:div w:id="1397781678">
      <w:bodyDiv w:val="1"/>
      <w:marLeft w:val="0"/>
      <w:marRight w:val="0"/>
      <w:marTop w:val="0"/>
      <w:marBottom w:val="0"/>
      <w:divBdr>
        <w:top w:val="none" w:sz="0" w:space="0" w:color="auto"/>
        <w:left w:val="none" w:sz="0" w:space="0" w:color="auto"/>
        <w:bottom w:val="none" w:sz="0" w:space="0" w:color="auto"/>
        <w:right w:val="none" w:sz="0" w:space="0" w:color="auto"/>
      </w:divBdr>
    </w:div>
    <w:div w:id="1671181253">
      <w:bodyDiv w:val="1"/>
      <w:marLeft w:val="0"/>
      <w:marRight w:val="0"/>
      <w:marTop w:val="0"/>
      <w:marBottom w:val="0"/>
      <w:divBdr>
        <w:top w:val="none" w:sz="0" w:space="0" w:color="auto"/>
        <w:left w:val="none" w:sz="0" w:space="0" w:color="auto"/>
        <w:bottom w:val="none" w:sz="0" w:space="0" w:color="auto"/>
        <w:right w:val="none" w:sz="0" w:space="0" w:color="auto"/>
      </w:divBdr>
    </w:div>
    <w:div w:id="1674260018">
      <w:bodyDiv w:val="1"/>
      <w:marLeft w:val="0"/>
      <w:marRight w:val="0"/>
      <w:marTop w:val="0"/>
      <w:marBottom w:val="0"/>
      <w:divBdr>
        <w:top w:val="none" w:sz="0" w:space="0" w:color="auto"/>
        <w:left w:val="none" w:sz="0" w:space="0" w:color="auto"/>
        <w:bottom w:val="none" w:sz="0" w:space="0" w:color="auto"/>
        <w:right w:val="none" w:sz="0" w:space="0" w:color="auto"/>
      </w:divBdr>
    </w:div>
    <w:div w:id="1876696352">
      <w:bodyDiv w:val="1"/>
      <w:marLeft w:val="0"/>
      <w:marRight w:val="0"/>
      <w:marTop w:val="0"/>
      <w:marBottom w:val="0"/>
      <w:divBdr>
        <w:top w:val="none" w:sz="0" w:space="0" w:color="auto"/>
        <w:left w:val="none" w:sz="0" w:space="0" w:color="auto"/>
        <w:bottom w:val="none" w:sz="0" w:space="0" w:color="auto"/>
        <w:right w:val="none" w:sz="0" w:space="0" w:color="auto"/>
      </w:divBdr>
    </w:div>
    <w:div w:id="2072608503">
      <w:bodyDiv w:val="1"/>
      <w:marLeft w:val="0"/>
      <w:marRight w:val="0"/>
      <w:marTop w:val="0"/>
      <w:marBottom w:val="0"/>
      <w:divBdr>
        <w:top w:val="none" w:sz="0" w:space="0" w:color="auto"/>
        <w:left w:val="none" w:sz="0" w:space="0" w:color="auto"/>
        <w:bottom w:val="none" w:sz="0" w:space="0" w:color="auto"/>
        <w:right w:val="none" w:sz="0" w:space="0" w:color="auto"/>
      </w:divBdr>
    </w:div>
    <w:div w:id="213340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ergystar.gov/buildings/tools-and-resources/portfolio-manager-quick-start-guide" TargetMode="External"/><Relationship Id="rId18" Type="http://schemas.openxmlformats.org/officeDocument/2006/relationships/hyperlink" Target="http://www.BoulderBuildingPerformance.com" TargetMode="External"/><Relationship Id="rId26" Type="http://schemas.openxmlformats.org/officeDocument/2006/relationships/hyperlink" Target="http://www.energystar.gov/buildings/sites/default/uploads/tools/PropertyUseDetailsandDefinition.pdf" TargetMode="External"/><Relationship Id="rId39" Type="http://schemas.openxmlformats.org/officeDocument/2006/relationships/hyperlink" Target="https://portfoliomanager.energystar.gov/pm/glossary" TargetMode="External"/><Relationship Id="rId21" Type="http://schemas.openxmlformats.org/officeDocument/2006/relationships/hyperlink" Target="http://www.boulderbuildingperformance.com/" TargetMode="External"/><Relationship Id="rId34" Type="http://schemas.openxmlformats.org/officeDocument/2006/relationships/header" Target="header2.xml"/><Relationship Id="rId42" Type="http://schemas.openxmlformats.org/officeDocument/2006/relationships/hyperlink" Target="https://portfoliomanager.energystar.gov/pm/glossary" TargetMode="External"/><Relationship Id="rId47" Type="http://schemas.openxmlformats.org/officeDocument/2006/relationships/hyperlink" Target="https://portfoliomanager.energystar.gov/pm/glossary" TargetMode="External"/><Relationship Id="rId50" Type="http://schemas.openxmlformats.org/officeDocument/2006/relationships/hyperlink" Target="https://portfoliomanager.energystar.gov/pm/glossary" TargetMode="External"/><Relationship Id="rId55" Type="http://schemas.openxmlformats.org/officeDocument/2006/relationships/hyperlink" Target="https://portfoliomanager.energystar.gov/pm/glossary" TargetMode="External"/><Relationship Id="rId63" Type="http://schemas.openxmlformats.org/officeDocument/2006/relationships/hyperlink" Target="https://www.energystar.gov/buildings/about-us/how-can-we-help-you/build-energy-program/guidelines" TargetMode="External"/><Relationship Id="rId68" Type="http://schemas.openxmlformats.org/officeDocument/2006/relationships/hyperlink" Target="mailto:benchmarking@xcelenergy.com" TargetMode="External"/><Relationship Id="rId7" Type="http://schemas.openxmlformats.org/officeDocument/2006/relationships/styles" Target="styles.xml"/><Relationship Id="rId71"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bouldercolorado.gov/media/17934/download?inline" TargetMode="External"/><Relationship Id="rId29" Type="http://schemas.openxmlformats.org/officeDocument/2006/relationships/hyperlink" Target="https://bouldercolorado.gov/services/building-performance-ordinance" TargetMode="External"/><Relationship Id="rId11" Type="http://schemas.openxmlformats.org/officeDocument/2006/relationships/endnotes" Target="endnotes.xml"/><Relationship Id="rId24" Type="http://schemas.openxmlformats.org/officeDocument/2006/relationships/hyperlink" Target="mailto:BPOHelpdesk@bouldercolorado.gov" TargetMode="External"/><Relationship Id="rId32" Type="http://schemas.openxmlformats.org/officeDocument/2006/relationships/header" Target="header1.xml"/><Relationship Id="rId37" Type="http://schemas.openxmlformats.org/officeDocument/2006/relationships/hyperlink" Target="https://portfoliomanager.energystar.gov/pm/glossary" TargetMode="External"/><Relationship Id="rId40" Type="http://schemas.openxmlformats.org/officeDocument/2006/relationships/hyperlink" Target="https://portfoliomanager.energystar.gov/pm/glossary" TargetMode="External"/><Relationship Id="rId45" Type="http://schemas.openxmlformats.org/officeDocument/2006/relationships/hyperlink" Target="https://portfoliomanager.energystar.gov/pm/glossary" TargetMode="External"/><Relationship Id="rId53" Type="http://schemas.openxmlformats.org/officeDocument/2006/relationships/hyperlink" Target="https://portfoliomanager.energystar.gov/pm/glossary" TargetMode="External"/><Relationship Id="rId58" Type="http://schemas.openxmlformats.org/officeDocument/2006/relationships/header" Target="header4.xml"/><Relationship Id="rId66" Type="http://schemas.openxmlformats.org/officeDocument/2006/relationships/hyperlink" Target="https://www.energystar.gov/buildingshelp" TargetMode="External"/><Relationship Id="rId5" Type="http://schemas.openxmlformats.org/officeDocument/2006/relationships/customXml" Target="../customXml/item5.xml"/><Relationship Id="rId15" Type="http://schemas.openxmlformats.org/officeDocument/2006/relationships/hyperlink" Target="https://portfoliomanager.energystar.gov/pm/signup" TargetMode="External"/><Relationship Id="rId23" Type="http://schemas.openxmlformats.org/officeDocument/2006/relationships/hyperlink" Target="https://portfoliomanager.zendesk.com/hc/en-us" TargetMode="External"/><Relationship Id="rId28" Type="http://schemas.openxmlformats.org/officeDocument/2006/relationships/hyperlink" Target="http://maps.bouldercounty.org/boco/PropertyViewer" TargetMode="External"/><Relationship Id="rId36" Type="http://schemas.openxmlformats.org/officeDocument/2006/relationships/hyperlink" Target="https://portfoliomanager.energystar.gov/pm/glossary" TargetMode="External"/><Relationship Id="rId49" Type="http://schemas.openxmlformats.org/officeDocument/2006/relationships/hyperlink" Target="https://portfoliomanager.energystar.gov/pm/glossary" TargetMode="External"/><Relationship Id="rId57" Type="http://schemas.openxmlformats.org/officeDocument/2006/relationships/header" Target="header3.xml"/><Relationship Id="rId61" Type="http://schemas.openxmlformats.org/officeDocument/2006/relationships/hyperlink" Target="https://www.energystar.gov/buildings/tools-and-resources/portfolio-manager-technical-reference-green-power" TargetMode="External"/><Relationship Id="rId10" Type="http://schemas.openxmlformats.org/officeDocument/2006/relationships/footnotes" Target="footnotes.xml"/><Relationship Id="rId19" Type="http://schemas.openxmlformats.org/officeDocument/2006/relationships/hyperlink" Target="http://www.xcelenergy.com/EnergyBenchmarking" TargetMode="External"/><Relationship Id="rId31" Type="http://schemas.openxmlformats.org/officeDocument/2006/relationships/hyperlink" Target="https://www.energystar.gov/buildings/facility-owners-and-managers/existing-buildings/earn-recognition/energy-star-certification/how-app-1" TargetMode="External"/><Relationship Id="rId44" Type="http://schemas.openxmlformats.org/officeDocument/2006/relationships/hyperlink" Target="https://portfoliomanager.energystar.gov/pm/glossary" TargetMode="External"/><Relationship Id="rId52" Type="http://schemas.openxmlformats.org/officeDocument/2006/relationships/hyperlink" Target="https://portfoliomanager.energystar.gov/pm/glossary" TargetMode="External"/><Relationship Id="rId60" Type="http://schemas.openxmlformats.org/officeDocument/2006/relationships/hyperlink" Target="mailto:info@PACEpartners.com" TargetMode="External"/><Relationship Id="rId65" Type="http://schemas.openxmlformats.org/officeDocument/2006/relationships/hyperlink" Target="mailto:info@PACEpartners.com"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rtfoliomanager.zendesk.com/hc/en-us" TargetMode="External"/><Relationship Id="rId22" Type="http://schemas.openxmlformats.org/officeDocument/2006/relationships/hyperlink" Target="https://www.energystar.gov/buildings/tools-and-resources/portfolio-manager-quick-start-guide" TargetMode="External"/><Relationship Id="rId27" Type="http://schemas.openxmlformats.org/officeDocument/2006/relationships/hyperlink" Target="http://www.energystar.gov/buildings/tools-and-resources/energy-star-score-parking" TargetMode="External"/><Relationship Id="rId30" Type="http://schemas.openxmlformats.org/officeDocument/2006/relationships/hyperlink" Target="https://bouldercolorado.gov/services/building-performance-ordinance" TargetMode="External"/><Relationship Id="rId35" Type="http://schemas.openxmlformats.org/officeDocument/2006/relationships/footer" Target="footer2.xml"/><Relationship Id="rId43" Type="http://schemas.openxmlformats.org/officeDocument/2006/relationships/hyperlink" Target="https://portfoliomanager.energystar.gov/pm/glossary" TargetMode="External"/><Relationship Id="rId48" Type="http://schemas.openxmlformats.org/officeDocument/2006/relationships/hyperlink" Target="https://portfoliomanager.energystar.gov/pm/glossary" TargetMode="External"/><Relationship Id="rId56" Type="http://schemas.openxmlformats.org/officeDocument/2006/relationships/hyperlink" Target="https://portfoliomanager.energystar.gov/pm/glossary" TargetMode="External"/><Relationship Id="rId64" Type="http://schemas.openxmlformats.org/officeDocument/2006/relationships/hyperlink" Target="https://www.energystar.gov/buildings/facility-owners-and-managers/existing-buildings/save-energy/comprehensive-approach/energy-star" TargetMode="External"/><Relationship Id="rId69"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https://portfoliomanager.energystar.gov/pm/glossary"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BPOHelpdesk@bouldercolorado.gov" TargetMode="External"/><Relationship Id="rId17" Type="http://schemas.openxmlformats.org/officeDocument/2006/relationships/hyperlink" Target="https://www.energystar.gov/sites/default/files/tools/Parking_August_2018_EN_508.pdf" TargetMode="External"/><Relationship Id="rId25" Type="http://schemas.openxmlformats.org/officeDocument/2006/relationships/hyperlink" Target="http://www.xcelenergy.com/staticfiles/xe/PDF/Regulatory/CO_-Billing&amp;Payment-Consent-To-Disclose-Utility-Customer-DataForm-EN%20.pdf" TargetMode="External"/><Relationship Id="rId33" Type="http://schemas.openxmlformats.org/officeDocument/2006/relationships/footer" Target="footer1.xml"/><Relationship Id="rId38" Type="http://schemas.openxmlformats.org/officeDocument/2006/relationships/hyperlink" Target="https://portfoliomanager.energystar.gov/pm/glossary" TargetMode="External"/><Relationship Id="rId46" Type="http://schemas.openxmlformats.org/officeDocument/2006/relationships/hyperlink" Target="https://portfoliomanager.energystar.gov/pm/glossary" TargetMode="External"/><Relationship Id="rId59" Type="http://schemas.openxmlformats.org/officeDocument/2006/relationships/footer" Target="footer3.xml"/><Relationship Id="rId67" Type="http://schemas.openxmlformats.org/officeDocument/2006/relationships/hyperlink" Target="mailto:BPOHelpdesk@bouldercolorado.gov" TargetMode="External"/><Relationship Id="rId20" Type="http://schemas.openxmlformats.org/officeDocument/2006/relationships/hyperlink" Target="http://www.xcelenergy.com/EnergyBenchmarking" TargetMode="External"/><Relationship Id="rId41" Type="http://schemas.openxmlformats.org/officeDocument/2006/relationships/hyperlink" Target="https://portfoliomanager.energystar.gov/pm/glossary" TargetMode="External"/><Relationship Id="rId54" Type="http://schemas.openxmlformats.org/officeDocument/2006/relationships/hyperlink" Target="https://portfoliomanager.energystar.gov/pm/glossary" TargetMode="External"/><Relationship Id="rId62" Type="http://schemas.openxmlformats.org/officeDocument/2006/relationships/hyperlink" Target="http://www.energystar.gov/buildings/facility-owners-and-managers/existing-buildings/find-financing/calculate-returns-energy-efficiency"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Custom 3">
      <a:dk1>
        <a:srgbClr val="FF9900"/>
      </a:dk1>
      <a:lt1>
        <a:sysClr val="window" lastClr="FFFFFF"/>
      </a:lt1>
      <a:dk2>
        <a:srgbClr val="FFFFFF"/>
      </a:dk2>
      <a:lt2>
        <a:srgbClr val="FFFFFF"/>
      </a:lt2>
      <a:accent1>
        <a:srgbClr val="006666"/>
      </a:accent1>
      <a:accent2>
        <a:srgbClr val="006666"/>
      </a:accent2>
      <a:accent3>
        <a:srgbClr val="006666"/>
      </a:accent3>
      <a:accent4>
        <a:srgbClr val="006666"/>
      </a:accent4>
      <a:accent5>
        <a:srgbClr val="006666"/>
      </a:accent5>
      <a:accent6>
        <a:srgbClr val="006666"/>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967e8fb-135a-4813-91f6-dfd143e5f1f5">
      <UserInfo>
        <DisplayName/>
        <AccountId xsi:nil="true"/>
        <AccountType/>
      </UserInfo>
    </SharedWithUsers>
    <TaxCatchAll xmlns="fa5a287d-e8d7-4515-878e-e2d26d40b308" xsi:nil="true"/>
    <lcf76f155ced4ddcb4097134ff3c332f xmlns="a185a935-ba3f-496a-b001-2f31da7152f8">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F0314EDECDC3E408AA8DC6E865F38F6" ma:contentTypeVersion="22" ma:contentTypeDescription="Create a new document." ma:contentTypeScope="" ma:versionID="a0472682a17e8c485b94d3ef4ead560b">
  <xsd:schema xmlns:xsd="http://www.w3.org/2001/XMLSchema" xmlns:xs="http://www.w3.org/2001/XMLSchema" xmlns:p="http://schemas.microsoft.com/office/2006/metadata/properties" xmlns:ns2="1a00750f-d101-47d7-b42c-3755e39e899d" xmlns:ns3="6967e8fb-135a-4813-91f6-dfd143e5f1f5" xmlns:ns4="a185a935-ba3f-496a-b001-2f31da7152f8" xmlns:ns5="fa5a287d-e8d7-4515-878e-e2d26d40b308" targetNamespace="http://schemas.microsoft.com/office/2006/metadata/properties" ma:root="true" ma:fieldsID="ef221d3e557715ae6cc52cc932536135" ns2:_="" ns3:_="" ns4:_="" ns5:_="">
    <xsd:import namespace="1a00750f-d101-47d7-b42c-3755e39e899d"/>
    <xsd:import namespace="6967e8fb-135a-4813-91f6-dfd143e5f1f5"/>
    <xsd:import namespace="a185a935-ba3f-496a-b001-2f31da7152f8"/>
    <xsd:import namespace="fa5a287d-e8d7-4515-878e-e2d26d40b3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00750f-d101-47d7-b42c-3755e39e8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67e8fb-135a-4813-91f6-dfd143e5f1f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5a935-ba3f-496a-b001-2f31da7152f8" elementFormDefault="qualified">
    <xsd:import namespace="http://schemas.microsoft.com/office/2006/documentManagement/types"/>
    <xsd:import namespace="http://schemas.microsoft.com/office/infopath/2007/PartnerControls"/>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132f65-3f16-4ed5-aad9-a4730df2f0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5a287d-e8d7-4515-878e-e2d26d40b30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b848c5e-4a01-4470-aae2-b676f4557d41}" ma:internalName="TaxCatchAll" ma:showField="CatchAllData" ma:web="fa5a287d-e8d7-4515-878e-e2d26d40b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A2ABE-48B3-443F-BA05-17CE8C760C57}">
  <ds:schemaRefs>
    <ds:schemaRef ds:uri="http://schemas.openxmlformats.org/officeDocument/2006/bibliography"/>
  </ds:schemaRefs>
</ds:datastoreItem>
</file>

<file path=customXml/itemProps2.xml><?xml version="1.0" encoding="utf-8"?>
<ds:datastoreItem xmlns:ds="http://schemas.openxmlformats.org/officeDocument/2006/customXml" ds:itemID="{C49DF993-C5F3-4708-9275-A6DBB0162F0D}">
  <ds:schemaRefs>
    <ds:schemaRef ds:uri="http://schemas.openxmlformats.org/officeDocument/2006/bibliography"/>
  </ds:schemaRefs>
</ds:datastoreItem>
</file>

<file path=customXml/itemProps3.xml><?xml version="1.0" encoding="utf-8"?>
<ds:datastoreItem xmlns:ds="http://schemas.openxmlformats.org/officeDocument/2006/customXml" ds:itemID="{973396B1-C405-4A49-B9E6-5195C3B1F8AB}">
  <ds:schemaRefs>
    <ds:schemaRef ds:uri="http://schemas.microsoft.com/sharepoint/v3/contenttype/forms"/>
  </ds:schemaRefs>
</ds:datastoreItem>
</file>

<file path=customXml/itemProps4.xml><?xml version="1.0" encoding="utf-8"?>
<ds:datastoreItem xmlns:ds="http://schemas.openxmlformats.org/officeDocument/2006/customXml" ds:itemID="{B801B479-611A-4173-BCE9-5383C1C64C54}">
  <ds:schemaRefs>
    <ds:schemaRef ds:uri="http://schemas.microsoft.com/office/2006/metadata/properties"/>
    <ds:schemaRef ds:uri="http://schemas.microsoft.com/office/infopath/2007/PartnerControls"/>
    <ds:schemaRef ds:uri="6967e8fb-135a-4813-91f6-dfd143e5f1f5"/>
    <ds:schemaRef ds:uri="fa5a287d-e8d7-4515-878e-e2d26d40b308"/>
    <ds:schemaRef ds:uri="a185a935-ba3f-496a-b001-2f31da7152f8"/>
  </ds:schemaRefs>
</ds:datastoreItem>
</file>

<file path=customXml/itemProps5.xml><?xml version="1.0" encoding="utf-8"?>
<ds:datastoreItem xmlns:ds="http://schemas.openxmlformats.org/officeDocument/2006/customXml" ds:itemID="{AE89CE57-7AA8-4B7B-BE78-009F8EECB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00750f-d101-47d7-b42c-3755e39e899d"/>
    <ds:schemaRef ds:uri="6967e8fb-135a-4813-91f6-dfd143e5f1f5"/>
    <ds:schemaRef ds:uri="a185a935-ba3f-496a-b001-2f31da7152f8"/>
    <ds:schemaRef ds:uri="fa5a287d-e8d7-4515-878e-e2d26d40b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5527</Words>
  <Characters>28634</Characters>
  <Application>Microsoft Office Word</Application>
  <DocSecurity>2</DocSecurity>
  <Lines>493</Lines>
  <Paragraphs>282</Paragraphs>
  <ScaleCrop>false</ScaleCrop>
  <HeadingPairs>
    <vt:vector size="2" baseType="variant">
      <vt:variant>
        <vt:lpstr>Title</vt:lpstr>
      </vt:variant>
      <vt:variant>
        <vt:i4>1</vt:i4>
      </vt:variant>
    </vt:vector>
  </HeadingPairs>
  <TitlesOfParts>
    <vt:vector size="1" baseType="lpstr">
      <vt:lpstr/>
    </vt:vector>
  </TitlesOfParts>
  <Company>City of Boulder IT</Company>
  <LinksUpToDate>false</LinksUpToDate>
  <CharactersWithSpaces>33879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Procopio</dc:creator>
  <cp:lastModifiedBy>Nicli, Layra</cp:lastModifiedBy>
  <cp:revision>12</cp:revision>
  <cp:lastPrinted>2018-12-18T17:30:00Z</cp:lastPrinted>
  <dcterms:created xsi:type="dcterms:W3CDTF">2025-06-26T20:29:00Z</dcterms:created>
  <dcterms:modified xsi:type="dcterms:W3CDTF">2025-06-27T02:05:00Z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0x0101003F0314EDECDC3E408AA8DC6E865F38F6</vt:lpwstr>
  </property>
  <property fmtid="{D5CDD505-2E9C-101B-9397-08002B2CF9AE}" pid="3" name="GUID">
    <vt:lpwstr>2815c3be-ac8d-42ae-b34e-14c37c659379</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10ec42c2ab9a2f4228a0170a132b423c81c450548ae0facd8c686f7cd169f456</vt:lpwstr>
  </property>
</Properties>
</file>