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0A4D" w14:textId="5C5E33DC" w:rsidR="00C5072A" w:rsidRDefault="00C5072A" w:rsidP="00934771">
      <w:pPr>
        <w:rPr>
          <w:b/>
          <w:sz w:val="24"/>
          <w:szCs w:val="24"/>
        </w:rPr>
      </w:pPr>
      <w:r w:rsidRPr="00C5072A">
        <w:rPr>
          <w:b/>
          <w:sz w:val="24"/>
          <w:szCs w:val="24"/>
        </w:rPr>
        <w:t>Healthy and Resilient Mobile Homes Grant Program</w:t>
      </w:r>
      <w:r>
        <w:rPr>
          <w:b/>
          <w:sz w:val="24"/>
          <w:szCs w:val="24"/>
        </w:rPr>
        <w:t>:</w:t>
      </w:r>
    </w:p>
    <w:p w14:paraId="108A4E85" w14:textId="6229A62D" w:rsidR="00934771" w:rsidRPr="00B61F2D" w:rsidRDefault="00934771" w:rsidP="00934771">
      <w:pPr>
        <w:rPr>
          <w:b/>
          <w:sz w:val="24"/>
          <w:szCs w:val="24"/>
        </w:rPr>
      </w:pPr>
      <w:r w:rsidRPr="00B61F2D">
        <w:rPr>
          <w:b/>
          <w:sz w:val="24"/>
          <w:szCs w:val="24"/>
        </w:rPr>
        <w:t>SPECIAL CONTRACT CONDITIONS</w:t>
      </w:r>
    </w:p>
    <w:p w14:paraId="24F2EE5A" w14:textId="77777777" w:rsidR="00934771" w:rsidRPr="00B61F2D" w:rsidRDefault="00934771" w:rsidP="00934771">
      <w:pPr>
        <w:pStyle w:val="Heading1"/>
        <w:rPr>
          <w:szCs w:val="24"/>
        </w:rPr>
      </w:pPr>
    </w:p>
    <w:p w14:paraId="16AEC8B7" w14:textId="77777777" w:rsidR="00934771" w:rsidRPr="00B61F2D" w:rsidRDefault="00934771" w:rsidP="00934771">
      <w:pPr>
        <w:rPr>
          <w:b/>
          <w:sz w:val="24"/>
          <w:szCs w:val="24"/>
        </w:rPr>
      </w:pPr>
      <w:r w:rsidRPr="00B61F2D">
        <w:rPr>
          <w:b/>
          <w:sz w:val="24"/>
          <w:szCs w:val="24"/>
        </w:rPr>
        <w:t>TABLE OF CONTENTS</w:t>
      </w:r>
    </w:p>
    <w:p w14:paraId="4A56DC09" w14:textId="77777777" w:rsidR="00934771" w:rsidRPr="00B61F2D" w:rsidRDefault="00934771" w:rsidP="00934771">
      <w:pPr>
        <w:rPr>
          <w:sz w:val="24"/>
          <w:szCs w:val="24"/>
        </w:rPr>
      </w:pPr>
    </w:p>
    <w:p w14:paraId="72E4628F" w14:textId="46292983" w:rsidR="00391E0D" w:rsidRPr="00B61F2D" w:rsidRDefault="00934771">
      <w:pPr>
        <w:pStyle w:val="TOC1"/>
        <w:rPr>
          <w:rFonts w:eastAsiaTheme="minorEastAsia"/>
          <w:noProof/>
          <w:szCs w:val="24"/>
        </w:rPr>
      </w:pPr>
      <w:r w:rsidRPr="00B61F2D">
        <w:rPr>
          <w:szCs w:val="24"/>
        </w:rPr>
        <w:fldChar w:fldCharType="begin"/>
      </w:r>
      <w:r w:rsidRPr="00B61F2D">
        <w:rPr>
          <w:szCs w:val="24"/>
        </w:rPr>
        <w:instrText xml:space="preserve"> TOC \o "1-3" \h \z \u </w:instrText>
      </w:r>
      <w:r w:rsidRPr="00B61F2D">
        <w:rPr>
          <w:szCs w:val="24"/>
        </w:rPr>
        <w:fldChar w:fldCharType="separate"/>
      </w:r>
      <w:hyperlink w:anchor="_Toc106314571" w:history="1">
        <w:r w:rsidR="00391E0D" w:rsidRPr="00B61F2D">
          <w:rPr>
            <w:rStyle w:val="Hyperlink"/>
            <w:noProof/>
            <w:szCs w:val="24"/>
          </w:rPr>
          <w:t>GENERAL</w:t>
        </w:r>
        <w:r w:rsidR="00391E0D" w:rsidRPr="00B61F2D">
          <w:rPr>
            <w:noProof/>
            <w:webHidden/>
            <w:szCs w:val="24"/>
          </w:rPr>
          <w:tab/>
        </w:r>
        <w:r w:rsidR="00391E0D" w:rsidRPr="00B61F2D">
          <w:rPr>
            <w:noProof/>
            <w:webHidden/>
            <w:szCs w:val="24"/>
          </w:rPr>
          <w:fldChar w:fldCharType="begin"/>
        </w:r>
        <w:r w:rsidR="00391E0D" w:rsidRPr="00B61F2D">
          <w:rPr>
            <w:noProof/>
            <w:webHidden/>
            <w:szCs w:val="24"/>
          </w:rPr>
          <w:instrText xml:space="preserve"> PAGEREF _Toc106314571 \h </w:instrText>
        </w:r>
        <w:r w:rsidR="00391E0D" w:rsidRPr="00B61F2D">
          <w:rPr>
            <w:noProof/>
            <w:webHidden/>
            <w:szCs w:val="24"/>
          </w:rPr>
        </w:r>
        <w:r w:rsidR="00391E0D" w:rsidRPr="00B61F2D">
          <w:rPr>
            <w:noProof/>
            <w:webHidden/>
            <w:szCs w:val="24"/>
          </w:rPr>
          <w:fldChar w:fldCharType="separate"/>
        </w:r>
        <w:r w:rsidR="00391E0D" w:rsidRPr="00B61F2D">
          <w:rPr>
            <w:noProof/>
            <w:webHidden/>
            <w:szCs w:val="24"/>
          </w:rPr>
          <w:t>2</w:t>
        </w:r>
        <w:r w:rsidR="00391E0D" w:rsidRPr="00B61F2D">
          <w:rPr>
            <w:noProof/>
            <w:webHidden/>
            <w:szCs w:val="24"/>
          </w:rPr>
          <w:fldChar w:fldCharType="end"/>
        </w:r>
      </w:hyperlink>
    </w:p>
    <w:p w14:paraId="3EA5EC34" w14:textId="6AC9D525" w:rsidR="00391E0D" w:rsidRPr="00B61F2D" w:rsidRDefault="00391E0D">
      <w:pPr>
        <w:pStyle w:val="TOC1"/>
        <w:rPr>
          <w:rFonts w:eastAsiaTheme="minorEastAsia"/>
          <w:noProof/>
          <w:szCs w:val="24"/>
        </w:rPr>
      </w:pPr>
      <w:hyperlink w:anchor="_Toc106314572" w:history="1">
        <w:r w:rsidRPr="00B61F2D">
          <w:rPr>
            <w:rStyle w:val="Hyperlink"/>
            <w:noProof/>
            <w:szCs w:val="24"/>
          </w:rPr>
          <w:t>SCC-1</w:t>
        </w:r>
        <w:r w:rsidRPr="00B61F2D">
          <w:rPr>
            <w:rFonts w:eastAsiaTheme="minorEastAsia"/>
            <w:noProof/>
            <w:szCs w:val="24"/>
          </w:rPr>
          <w:tab/>
        </w:r>
        <w:r w:rsidR="00CF004A" w:rsidRPr="00B61F2D">
          <w:rPr>
            <w:rStyle w:val="Hyperlink"/>
            <w:noProof/>
            <w:szCs w:val="24"/>
          </w:rPr>
          <w:t>INSURANCE</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_Toc106314572 \h </w:instrText>
        </w:r>
        <w:r w:rsidRPr="00B61F2D">
          <w:rPr>
            <w:noProof/>
            <w:webHidden/>
            <w:szCs w:val="24"/>
          </w:rPr>
        </w:r>
        <w:r w:rsidRPr="00B61F2D">
          <w:rPr>
            <w:noProof/>
            <w:webHidden/>
            <w:szCs w:val="24"/>
          </w:rPr>
          <w:fldChar w:fldCharType="separate"/>
        </w:r>
        <w:r w:rsidRPr="00B61F2D">
          <w:rPr>
            <w:noProof/>
            <w:webHidden/>
            <w:szCs w:val="24"/>
          </w:rPr>
          <w:t>2</w:t>
        </w:r>
        <w:r w:rsidRPr="00B61F2D">
          <w:rPr>
            <w:noProof/>
            <w:webHidden/>
            <w:szCs w:val="24"/>
          </w:rPr>
          <w:fldChar w:fldCharType="end"/>
        </w:r>
      </w:hyperlink>
    </w:p>
    <w:p w14:paraId="45BC3505" w14:textId="03A825A4" w:rsidR="00391E0D" w:rsidRPr="00B61F2D" w:rsidRDefault="00391E0D" w:rsidP="007054FB">
      <w:pPr>
        <w:pStyle w:val="TOC1"/>
        <w:rPr>
          <w:rFonts w:eastAsiaTheme="minorEastAsia"/>
          <w:noProof/>
          <w:szCs w:val="24"/>
        </w:rPr>
      </w:pPr>
      <w:hyperlink w:anchor="_Toc106314573" w:history="1">
        <w:r w:rsidRPr="00B61F2D">
          <w:rPr>
            <w:rStyle w:val="Hyperlink"/>
            <w:noProof/>
            <w:szCs w:val="24"/>
          </w:rPr>
          <w:t>SCC-2</w:t>
        </w:r>
        <w:r w:rsidRPr="00B61F2D">
          <w:rPr>
            <w:rFonts w:eastAsiaTheme="minorEastAsia"/>
            <w:noProof/>
            <w:szCs w:val="24"/>
          </w:rPr>
          <w:tab/>
        </w:r>
        <w:r w:rsidR="00CF004A" w:rsidRPr="00B61F2D">
          <w:rPr>
            <w:szCs w:val="24"/>
          </w:rPr>
          <w:t>EVENINGS, WEEKENDS AND HOLIDAYS</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_Toc106314573 \h </w:instrText>
        </w:r>
        <w:r w:rsidRPr="00B61F2D">
          <w:rPr>
            <w:noProof/>
            <w:webHidden/>
            <w:szCs w:val="24"/>
          </w:rPr>
        </w:r>
        <w:r w:rsidRPr="00B61F2D">
          <w:rPr>
            <w:noProof/>
            <w:webHidden/>
            <w:szCs w:val="24"/>
          </w:rPr>
          <w:fldChar w:fldCharType="separate"/>
        </w:r>
        <w:r w:rsidRPr="00B61F2D">
          <w:rPr>
            <w:noProof/>
            <w:webHidden/>
            <w:szCs w:val="24"/>
          </w:rPr>
          <w:t>2</w:t>
        </w:r>
        <w:r w:rsidRPr="00B61F2D">
          <w:rPr>
            <w:noProof/>
            <w:webHidden/>
            <w:szCs w:val="24"/>
          </w:rPr>
          <w:fldChar w:fldCharType="end"/>
        </w:r>
      </w:hyperlink>
    </w:p>
    <w:p w14:paraId="604AD4A9" w14:textId="6B10CBEF" w:rsidR="00391E0D" w:rsidRPr="00B61F2D" w:rsidRDefault="00391E0D">
      <w:pPr>
        <w:pStyle w:val="TOC1"/>
        <w:rPr>
          <w:rFonts w:eastAsiaTheme="minorEastAsia"/>
          <w:noProof/>
          <w:szCs w:val="24"/>
        </w:rPr>
      </w:pPr>
      <w:hyperlink w:anchor="_Toc106314575" w:history="1">
        <w:r w:rsidRPr="00B61F2D">
          <w:rPr>
            <w:rStyle w:val="Hyperlink"/>
            <w:noProof/>
            <w:szCs w:val="24"/>
          </w:rPr>
          <w:t>SCC-</w:t>
        </w:r>
        <w:r w:rsidR="008F59C3">
          <w:rPr>
            <w:rStyle w:val="Hyperlink"/>
            <w:noProof/>
            <w:szCs w:val="24"/>
          </w:rPr>
          <w:t>3</w:t>
        </w:r>
        <w:r w:rsidRPr="00B61F2D">
          <w:rPr>
            <w:rFonts w:eastAsiaTheme="minorEastAsia"/>
            <w:noProof/>
            <w:szCs w:val="24"/>
          </w:rPr>
          <w:tab/>
        </w:r>
        <w:r w:rsidR="008F59C3" w:rsidRPr="00B61F2D">
          <w:rPr>
            <w:szCs w:val="24"/>
          </w:rPr>
          <w:t>PROGRESS PAYMENTS</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_Toc106314575 \h </w:instrText>
        </w:r>
        <w:r w:rsidRPr="00B61F2D">
          <w:rPr>
            <w:noProof/>
            <w:webHidden/>
            <w:szCs w:val="24"/>
          </w:rPr>
        </w:r>
        <w:r w:rsidRPr="00B61F2D">
          <w:rPr>
            <w:noProof/>
            <w:webHidden/>
            <w:szCs w:val="24"/>
          </w:rPr>
          <w:fldChar w:fldCharType="separate"/>
        </w:r>
        <w:r w:rsidRPr="00B61F2D">
          <w:rPr>
            <w:noProof/>
            <w:webHidden/>
            <w:szCs w:val="24"/>
          </w:rPr>
          <w:t>2</w:t>
        </w:r>
        <w:r w:rsidRPr="00B61F2D">
          <w:rPr>
            <w:noProof/>
            <w:webHidden/>
            <w:szCs w:val="24"/>
          </w:rPr>
          <w:fldChar w:fldCharType="end"/>
        </w:r>
      </w:hyperlink>
    </w:p>
    <w:p w14:paraId="31CD3B0D" w14:textId="4880FE1B" w:rsidR="00391E0D" w:rsidRPr="00B61F2D" w:rsidRDefault="00391E0D">
      <w:pPr>
        <w:pStyle w:val="TOC1"/>
        <w:rPr>
          <w:rFonts w:eastAsiaTheme="minorEastAsia"/>
          <w:noProof/>
          <w:szCs w:val="24"/>
        </w:rPr>
      </w:pPr>
      <w:hyperlink w:anchor="_Toc106314576" w:history="1">
        <w:r w:rsidRPr="00B61F2D">
          <w:rPr>
            <w:rStyle w:val="Hyperlink"/>
            <w:noProof/>
            <w:szCs w:val="24"/>
          </w:rPr>
          <w:t>SCC-</w:t>
        </w:r>
        <w:r w:rsidR="008F59C3">
          <w:rPr>
            <w:rStyle w:val="Hyperlink"/>
            <w:noProof/>
            <w:szCs w:val="24"/>
          </w:rPr>
          <w:t>4</w:t>
        </w:r>
        <w:r w:rsidRPr="00B61F2D">
          <w:rPr>
            <w:rFonts w:eastAsiaTheme="minorEastAsia"/>
            <w:noProof/>
            <w:szCs w:val="24"/>
          </w:rPr>
          <w:tab/>
        </w:r>
        <w:r w:rsidR="007A0BAB" w:rsidRPr="007A0BAB">
          <w:rPr>
            <w:rFonts w:eastAsiaTheme="minorEastAsia"/>
            <w:noProof/>
            <w:szCs w:val="24"/>
          </w:rPr>
          <w:t>FINAL PAYMENT</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_Toc106314576 \h </w:instrText>
        </w:r>
        <w:r w:rsidRPr="00B61F2D">
          <w:rPr>
            <w:noProof/>
            <w:webHidden/>
            <w:szCs w:val="24"/>
          </w:rPr>
        </w:r>
        <w:r w:rsidRPr="00B61F2D">
          <w:rPr>
            <w:noProof/>
            <w:webHidden/>
            <w:szCs w:val="24"/>
          </w:rPr>
          <w:fldChar w:fldCharType="separate"/>
        </w:r>
        <w:r w:rsidRPr="00B61F2D">
          <w:rPr>
            <w:noProof/>
            <w:webHidden/>
            <w:szCs w:val="24"/>
          </w:rPr>
          <w:t>3</w:t>
        </w:r>
        <w:r w:rsidRPr="00B61F2D">
          <w:rPr>
            <w:noProof/>
            <w:webHidden/>
            <w:szCs w:val="24"/>
          </w:rPr>
          <w:fldChar w:fldCharType="end"/>
        </w:r>
      </w:hyperlink>
    </w:p>
    <w:p w14:paraId="295F2B87" w14:textId="63870818" w:rsidR="00391E0D" w:rsidRPr="00B61F2D" w:rsidRDefault="00391E0D">
      <w:pPr>
        <w:pStyle w:val="TOC1"/>
        <w:rPr>
          <w:rFonts w:eastAsiaTheme="minorEastAsia"/>
          <w:noProof/>
          <w:szCs w:val="24"/>
        </w:rPr>
      </w:pPr>
      <w:hyperlink w:anchor="_Toc106314577" w:history="1">
        <w:r w:rsidRPr="00B61F2D">
          <w:rPr>
            <w:rStyle w:val="Hyperlink"/>
            <w:noProof/>
            <w:szCs w:val="24"/>
          </w:rPr>
          <w:t>SCC-</w:t>
        </w:r>
        <w:r w:rsidR="008F59C3">
          <w:rPr>
            <w:rStyle w:val="Hyperlink"/>
            <w:noProof/>
            <w:szCs w:val="24"/>
          </w:rPr>
          <w:t>5</w:t>
        </w:r>
        <w:r w:rsidRPr="00B61F2D">
          <w:rPr>
            <w:rFonts w:eastAsiaTheme="minorEastAsia"/>
            <w:noProof/>
            <w:szCs w:val="24"/>
          </w:rPr>
          <w:tab/>
        </w:r>
        <w:r w:rsidR="002B7201" w:rsidRPr="002B7201">
          <w:rPr>
            <w:rFonts w:eastAsiaTheme="minorEastAsia"/>
            <w:noProof/>
            <w:szCs w:val="24"/>
          </w:rPr>
          <w:t>CONTRACTOR’S WARRANTY AND GUARANTEE</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_Toc106314577 \h </w:instrText>
        </w:r>
        <w:r w:rsidRPr="00B61F2D">
          <w:rPr>
            <w:noProof/>
            <w:webHidden/>
            <w:szCs w:val="24"/>
          </w:rPr>
        </w:r>
        <w:r w:rsidRPr="00B61F2D">
          <w:rPr>
            <w:noProof/>
            <w:webHidden/>
            <w:szCs w:val="24"/>
          </w:rPr>
          <w:fldChar w:fldCharType="separate"/>
        </w:r>
        <w:r w:rsidRPr="00B61F2D">
          <w:rPr>
            <w:noProof/>
            <w:webHidden/>
            <w:szCs w:val="24"/>
          </w:rPr>
          <w:t>3</w:t>
        </w:r>
        <w:r w:rsidRPr="00B61F2D">
          <w:rPr>
            <w:noProof/>
            <w:webHidden/>
            <w:szCs w:val="24"/>
          </w:rPr>
          <w:fldChar w:fldCharType="end"/>
        </w:r>
      </w:hyperlink>
    </w:p>
    <w:p w14:paraId="4315B0A9" w14:textId="200BE8CC" w:rsidR="00391E0D" w:rsidRPr="00B61F2D" w:rsidRDefault="00391E0D">
      <w:pPr>
        <w:pStyle w:val="TOC1"/>
        <w:rPr>
          <w:rFonts w:eastAsiaTheme="minorEastAsia"/>
          <w:noProof/>
          <w:szCs w:val="24"/>
        </w:rPr>
      </w:pPr>
      <w:hyperlink w:anchor="_Toc106314578" w:history="1">
        <w:r w:rsidRPr="00B61F2D">
          <w:rPr>
            <w:rStyle w:val="Hyperlink"/>
            <w:noProof/>
            <w:szCs w:val="24"/>
          </w:rPr>
          <w:t>SCC-</w:t>
        </w:r>
        <w:r w:rsidR="00444639">
          <w:rPr>
            <w:rStyle w:val="Hyperlink"/>
            <w:noProof/>
            <w:szCs w:val="24"/>
          </w:rPr>
          <w:t>6</w:t>
        </w:r>
        <w:r w:rsidRPr="00B61F2D">
          <w:rPr>
            <w:rFonts w:eastAsiaTheme="minorEastAsia"/>
            <w:noProof/>
            <w:szCs w:val="24"/>
          </w:rPr>
          <w:tab/>
        </w:r>
        <w:r w:rsidR="00876902" w:rsidRPr="00876902">
          <w:rPr>
            <w:rFonts w:eastAsiaTheme="minorEastAsia"/>
            <w:noProof/>
            <w:szCs w:val="24"/>
          </w:rPr>
          <w:t>SUBSTANTIAL COMPLETION AND RIGHT OF OCCUPANCY</w:t>
        </w:r>
        <w:r w:rsidRPr="00B61F2D">
          <w:rPr>
            <w:noProof/>
            <w:webHidden/>
            <w:szCs w:val="24"/>
          </w:rPr>
          <w:tab/>
        </w:r>
        <w:r w:rsidRPr="00B61F2D">
          <w:rPr>
            <w:noProof/>
            <w:webHidden/>
            <w:szCs w:val="24"/>
          </w:rPr>
          <w:fldChar w:fldCharType="begin"/>
        </w:r>
        <w:r w:rsidRPr="00B61F2D">
          <w:rPr>
            <w:noProof/>
            <w:webHidden/>
            <w:szCs w:val="24"/>
          </w:rPr>
          <w:instrText xml:space="preserve"> PAGEREF _Toc106314578 \h </w:instrText>
        </w:r>
        <w:r w:rsidRPr="00B61F2D">
          <w:rPr>
            <w:noProof/>
            <w:webHidden/>
            <w:szCs w:val="24"/>
          </w:rPr>
        </w:r>
        <w:r w:rsidRPr="00B61F2D">
          <w:rPr>
            <w:noProof/>
            <w:webHidden/>
            <w:szCs w:val="24"/>
          </w:rPr>
          <w:fldChar w:fldCharType="separate"/>
        </w:r>
        <w:r w:rsidRPr="00B61F2D">
          <w:rPr>
            <w:noProof/>
            <w:webHidden/>
            <w:szCs w:val="24"/>
          </w:rPr>
          <w:t>3</w:t>
        </w:r>
        <w:r w:rsidRPr="00B61F2D">
          <w:rPr>
            <w:noProof/>
            <w:webHidden/>
            <w:szCs w:val="24"/>
          </w:rPr>
          <w:fldChar w:fldCharType="end"/>
        </w:r>
      </w:hyperlink>
    </w:p>
    <w:p w14:paraId="37B8B37E" w14:textId="78A6105E" w:rsidR="00934771" w:rsidRPr="00B61F2D" w:rsidRDefault="00934771" w:rsidP="00934771">
      <w:pPr>
        <w:rPr>
          <w:sz w:val="24"/>
          <w:szCs w:val="24"/>
        </w:rPr>
      </w:pPr>
      <w:r w:rsidRPr="00B61F2D">
        <w:rPr>
          <w:sz w:val="24"/>
          <w:szCs w:val="24"/>
        </w:rPr>
        <w:fldChar w:fldCharType="end"/>
      </w:r>
    </w:p>
    <w:p w14:paraId="43CABB58" w14:textId="77777777" w:rsidR="00934771" w:rsidRPr="00B61F2D" w:rsidRDefault="00934771" w:rsidP="00934771">
      <w:pPr>
        <w:pStyle w:val="Heading1"/>
        <w:rPr>
          <w:szCs w:val="24"/>
        </w:rPr>
      </w:pPr>
    </w:p>
    <w:p w14:paraId="5381FF40" w14:textId="77777777" w:rsidR="00B1763E" w:rsidRPr="00B61F2D" w:rsidRDefault="00934771" w:rsidP="00131BEF">
      <w:pPr>
        <w:pStyle w:val="Heading1"/>
        <w:spacing w:after="240"/>
        <w:rPr>
          <w:szCs w:val="24"/>
        </w:rPr>
      </w:pPr>
      <w:r w:rsidRPr="00B61F2D">
        <w:rPr>
          <w:szCs w:val="24"/>
        </w:rPr>
        <w:br w:type="page"/>
      </w:r>
      <w:bookmarkStart w:id="0" w:name="_Toc106314571"/>
      <w:r w:rsidRPr="00B61F2D">
        <w:rPr>
          <w:szCs w:val="24"/>
        </w:rPr>
        <w:lastRenderedPageBreak/>
        <w:t>GENERAL</w:t>
      </w:r>
      <w:bookmarkEnd w:id="0"/>
    </w:p>
    <w:p w14:paraId="4B51C98A" w14:textId="35DCEFDC" w:rsidR="00934771" w:rsidRDefault="00934771" w:rsidP="00131BEF">
      <w:pPr>
        <w:spacing w:after="240"/>
        <w:rPr>
          <w:sz w:val="24"/>
          <w:szCs w:val="24"/>
        </w:rPr>
      </w:pPr>
      <w:r w:rsidRPr="00B61F2D">
        <w:rPr>
          <w:sz w:val="24"/>
          <w:szCs w:val="24"/>
        </w:rPr>
        <w:t>These Special Contract Conditions make additions, deletions, or revisions to the General Conditions as indicated herein.  All provisions of the General Conditions which are not so added, deleted, or revised remain in full force and effect.  Terms used in these Special Contract Conditions which are defined in the General Conditions have the meanings assigned to them in the General Conditions.</w:t>
      </w:r>
    </w:p>
    <w:p w14:paraId="6F3099A8" w14:textId="0271624D" w:rsidR="00934771" w:rsidRPr="00B61F2D" w:rsidRDefault="00934771" w:rsidP="00131BEF">
      <w:pPr>
        <w:pStyle w:val="Heading1"/>
        <w:spacing w:before="240"/>
      </w:pPr>
      <w:bookmarkStart w:id="1" w:name="_Toc106314573"/>
      <w:r w:rsidRPr="00B61F2D">
        <w:rPr>
          <w:szCs w:val="24"/>
        </w:rPr>
        <w:t>SCC-</w:t>
      </w:r>
      <w:r w:rsidR="004F6BF0" w:rsidRPr="00B61F2D">
        <w:rPr>
          <w:szCs w:val="24"/>
        </w:rPr>
        <w:t>1</w:t>
      </w:r>
      <w:r w:rsidRPr="00B61F2D">
        <w:rPr>
          <w:szCs w:val="24"/>
        </w:rPr>
        <w:tab/>
      </w:r>
      <w:r w:rsidRPr="00B61F2D">
        <w:rPr>
          <w:szCs w:val="24"/>
        </w:rPr>
        <w:tab/>
      </w:r>
      <w:bookmarkEnd w:id="1"/>
      <w:r w:rsidR="00123364" w:rsidRPr="00B61F2D">
        <w:rPr>
          <w:szCs w:val="24"/>
        </w:rPr>
        <w:t>INSURANCE</w:t>
      </w:r>
    </w:p>
    <w:p w14:paraId="0FF54D6A" w14:textId="7DA1EA7B" w:rsidR="009C52A9" w:rsidRPr="00B61F2D" w:rsidRDefault="00F2686A" w:rsidP="00131BEF">
      <w:pPr>
        <w:spacing w:before="240"/>
        <w:ind w:right="-288"/>
        <w:rPr>
          <w:sz w:val="24"/>
          <w:szCs w:val="24"/>
        </w:rPr>
      </w:pPr>
      <w:r w:rsidRPr="00B61F2D">
        <w:rPr>
          <w:sz w:val="24"/>
          <w:szCs w:val="24"/>
        </w:rPr>
        <w:t>Section 204</w:t>
      </w:r>
      <w:r w:rsidR="004F304F" w:rsidRPr="00B61F2D">
        <w:rPr>
          <w:sz w:val="24"/>
          <w:szCs w:val="24"/>
        </w:rPr>
        <w:t>, A, “Insurance Coverages” is modif</w:t>
      </w:r>
      <w:r w:rsidR="00206828" w:rsidRPr="00B61F2D">
        <w:rPr>
          <w:sz w:val="24"/>
          <w:szCs w:val="24"/>
        </w:rPr>
        <w:t>i</w:t>
      </w:r>
      <w:r w:rsidR="004F304F" w:rsidRPr="00B61F2D">
        <w:rPr>
          <w:sz w:val="24"/>
          <w:szCs w:val="24"/>
        </w:rPr>
        <w:t xml:space="preserve">ed </w:t>
      </w:r>
      <w:r w:rsidR="0060247F" w:rsidRPr="00B61F2D">
        <w:rPr>
          <w:sz w:val="24"/>
          <w:szCs w:val="24"/>
        </w:rPr>
        <w:t>as follows</w:t>
      </w:r>
      <w:r w:rsidR="00206828" w:rsidRPr="00B61F2D">
        <w:rPr>
          <w:sz w:val="24"/>
          <w:szCs w:val="24"/>
        </w:rPr>
        <w:t>:</w:t>
      </w:r>
    </w:p>
    <w:p w14:paraId="6CDADDFA" w14:textId="2BC33A3A" w:rsidR="009C52A9" w:rsidRPr="00B61F2D" w:rsidRDefault="00AD2844" w:rsidP="00AD2844">
      <w:pPr>
        <w:pStyle w:val="ListParagraph"/>
        <w:numPr>
          <w:ilvl w:val="0"/>
          <w:numId w:val="17"/>
        </w:numPr>
        <w:ind w:right="-288"/>
        <w:rPr>
          <w:rFonts w:ascii="Times New Roman" w:hAnsi="Times New Roman" w:cs="Times New Roman"/>
          <w:sz w:val="24"/>
          <w:szCs w:val="24"/>
        </w:rPr>
      </w:pPr>
      <w:r w:rsidRPr="00B61F2D">
        <w:rPr>
          <w:rFonts w:ascii="Times New Roman" w:hAnsi="Times New Roman" w:cs="Times New Roman"/>
          <w:sz w:val="24"/>
          <w:szCs w:val="24"/>
        </w:rPr>
        <w:t xml:space="preserve">Minimum Coverages. Contractor agrees to procure and maintain in force during the term of this Agreement, </w:t>
      </w:r>
      <w:r w:rsidR="00E65842" w:rsidRPr="00B61F2D">
        <w:rPr>
          <w:rFonts w:ascii="Times New Roman" w:hAnsi="Times New Roman" w:cs="Times New Roman"/>
          <w:sz w:val="24"/>
          <w:szCs w:val="24"/>
        </w:rPr>
        <w:t xml:space="preserve">at its own cost, the following minimum coverages: </w:t>
      </w:r>
    </w:p>
    <w:p w14:paraId="427FDEC6" w14:textId="77777777" w:rsidR="00036CA4" w:rsidRPr="00B61F2D" w:rsidRDefault="00E65842" w:rsidP="00E65842">
      <w:pPr>
        <w:pStyle w:val="ListParagraph"/>
        <w:numPr>
          <w:ilvl w:val="1"/>
          <w:numId w:val="17"/>
        </w:numPr>
        <w:ind w:right="-288"/>
        <w:rPr>
          <w:rFonts w:ascii="Times New Roman" w:hAnsi="Times New Roman" w:cs="Times New Roman"/>
          <w:sz w:val="24"/>
          <w:szCs w:val="24"/>
        </w:rPr>
      </w:pPr>
      <w:r w:rsidRPr="00B61F2D">
        <w:rPr>
          <w:rFonts w:ascii="Times New Roman" w:hAnsi="Times New Roman" w:cs="Times New Roman"/>
          <w:sz w:val="24"/>
          <w:szCs w:val="24"/>
        </w:rPr>
        <w:t>Workers’ Compensation and Employers’ Liability</w:t>
      </w:r>
      <w:r w:rsidR="00036CA4" w:rsidRPr="00B61F2D">
        <w:rPr>
          <w:rFonts w:ascii="Times New Roman" w:hAnsi="Times New Roman" w:cs="Times New Roman"/>
          <w:sz w:val="24"/>
          <w:szCs w:val="24"/>
        </w:rPr>
        <w:t xml:space="preserve"> </w:t>
      </w:r>
    </w:p>
    <w:p w14:paraId="0FCC0B18" w14:textId="77777777" w:rsidR="00036CA4" w:rsidRPr="00B61F2D" w:rsidRDefault="00036CA4" w:rsidP="00036CA4">
      <w:pPr>
        <w:pStyle w:val="ListParagraph"/>
        <w:ind w:left="1440" w:right="-288"/>
        <w:rPr>
          <w:rFonts w:ascii="Times New Roman" w:hAnsi="Times New Roman" w:cs="Times New Roman"/>
          <w:sz w:val="24"/>
          <w:szCs w:val="24"/>
        </w:rPr>
      </w:pPr>
    </w:p>
    <w:p w14:paraId="257DC2D6" w14:textId="3D1B1F6B" w:rsidR="00036CA4" w:rsidRPr="00B61F2D" w:rsidRDefault="00036CA4" w:rsidP="00036CA4">
      <w:pPr>
        <w:pStyle w:val="ListParagraph"/>
        <w:ind w:left="1440" w:right="-288"/>
        <w:rPr>
          <w:rFonts w:ascii="Times New Roman" w:hAnsi="Times New Roman" w:cs="Times New Roman"/>
          <w:sz w:val="24"/>
          <w:szCs w:val="24"/>
        </w:rPr>
      </w:pPr>
      <w:r w:rsidRPr="00B61F2D">
        <w:rPr>
          <w:rFonts w:ascii="Times New Roman" w:hAnsi="Times New Roman" w:cs="Times New Roman"/>
          <w:sz w:val="24"/>
          <w:szCs w:val="24"/>
        </w:rPr>
        <w:t>State of Colorado: Statutory</w:t>
      </w:r>
    </w:p>
    <w:p w14:paraId="17ABE8E2" w14:textId="7D20A8A5" w:rsidR="00E65842" w:rsidRPr="00B61F2D" w:rsidRDefault="00E65842" w:rsidP="00FF0D7E">
      <w:pPr>
        <w:pStyle w:val="ListParagraph"/>
        <w:ind w:left="1440" w:right="-288"/>
        <w:rPr>
          <w:rFonts w:ascii="Times New Roman" w:hAnsi="Times New Roman" w:cs="Times New Roman"/>
          <w:sz w:val="24"/>
          <w:szCs w:val="24"/>
        </w:rPr>
      </w:pPr>
    </w:p>
    <w:p w14:paraId="2BD41746" w14:textId="35FCD6C8" w:rsidR="009035E4" w:rsidRPr="00B61F2D" w:rsidRDefault="009035E4" w:rsidP="00E65842">
      <w:pPr>
        <w:pStyle w:val="ListParagraph"/>
        <w:numPr>
          <w:ilvl w:val="1"/>
          <w:numId w:val="17"/>
        </w:numPr>
        <w:ind w:right="-288"/>
        <w:rPr>
          <w:rFonts w:ascii="Times New Roman" w:hAnsi="Times New Roman" w:cs="Times New Roman"/>
          <w:sz w:val="24"/>
          <w:szCs w:val="24"/>
        </w:rPr>
      </w:pPr>
      <w:r w:rsidRPr="00B61F2D">
        <w:rPr>
          <w:rFonts w:ascii="Times New Roman" w:hAnsi="Times New Roman" w:cs="Times New Roman"/>
          <w:sz w:val="24"/>
          <w:szCs w:val="24"/>
        </w:rPr>
        <w:t>General Liability – ISO CG 00001 or equivalent</w:t>
      </w:r>
    </w:p>
    <w:p w14:paraId="2E7D7C22" w14:textId="77777777" w:rsidR="00BA59AF" w:rsidRPr="00B61F2D" w:rsidRDefault="00BA59AF" w:rsidP="00FF0D7E">
      <w:pPr>
        <w:pStyle w:val="ListParagraph"/>
        <w:ind w:left="1440" w:right="-288"/>
        <w:rPr>
          <w:rFonts w:ascii="Times New Roman" w:hAnsi="Times New Roman" w:cs="Times New Roman"/>
          <w:sz w:val="24"/>
          <w:szCs w:val="24"/>
        </w:rPr>
      </w:pPr>
    </w:p>
    <w:p w14:paraId="67C282B2" w14:textId="4C724583" w:rsidR="00E053DA" w:rsidRPr="00B61F2D" w:rsidRDefault="001511FB" w:rsidP="00623295">
      <w:pPr>
        <w:pStyle w:val="ListParagraph"/>
        <w:numPr>
          <w:ilvl w:val="2"/>
          <w:numId w:val="17"/>
        </w:numPr>
        <w:ind w:right="-288"/>
        <w:rPr>
          <w:rFonts w:ascii="Times New Roman" w:hAnsi="Times New Roman" w:cs="Times New Roman"/>
          <w:sz w:val="24"/>
          <w:szCs w:val="24"/>
        </w:rPr>
      </w:pPr>
      <w:r w:rsidRPr="00B61F2D">
        <w:rPr>
          <w:rFonts w:ascii="Times New Roman" w:hAnsi="Times New Roman" w:cs="Times New Roman"/>
          <w:sz w:val="24"/>
          <w:szCs w:val="24"/>
        </w:rPr>
        <w:t xml:space="preserve">General Aggregate Limit: </w:t>
      </w:r>
      <w:r w:rsidRPr="00B61F2D">
        <w:rPr>
          <w:rFonts w:ascii="Times New Roman" w:hAnsi="Times New Roman" w:cs="Times New Roman"/>
          <w:sz w:val="24"/>
          <w:szCs w:val="24"/>
        </w:rPr>
        <w:tab/>
        <w:t>$2,000,000</w:t>
      </w:r>
    </w:p>
    <w:p w14:paraId="52F0894C" w14:textId="31D858EC" w:rsidR="001511FB" w:rsidRPr="00B61F2D" w:rsidRDefault="001511FB" w:rsidP="00E053DA">
      <w:pPr>
        <w:pStyle w:val="ListParagraph"/>
        <w:numPr>
          <w:ilvl w:val="2"/>
          <w:numId w:val="17"/>
        </w:numPr>
        <w:ind w:right="-288"/>
        <w:rPr>
          <w:rFonts w:ascii="Times New Roman" w:hAnsi="Times New Roman" w:cs="Times New Roman"/>
          <w:sz w:val="24"/>
          <w:szCs w:val="24"/>
        </w:rPr>
      </w:pPr>
      <w:r w:rsidRPr="00B61F2D">
        <w:rPr>
          <w:rFonts w:ascii="Times New Roman" w:hAnsi="Times New Roman" w:cs="Times New Roman"/>
          <w:sz w:val="24"/>
          <w:szCs w:val="24"/>
        </w:rPr>
        <w:t>Per Occurrence</w:t>
      </w:r>
      <w:r w:rsidR="00DA0CD9" w:rsidRPr="00B61F2D">
        <w:rPr>
          <w:rFonts w:ascii="Times New Roman" w:hAnsi="Times New Roman" w:cs="Times New Roman"/>
          <w:sz w:val="24"/>
          <w:szCs w:val="24"/>
        </w:rPr>
        <w:t>:</w:t>
      </w:r>
      <w:r w:rsidR="00DA0CD9" w:rsidRPr="00B61F2D">
        <w:rPr>
          <w:rFonts w:ascii="Times New Roman" w:hAnsi="Times New Roman" w:cs="Times New Roman"/>
          <w:sz w:val="24"/>
          <w:szCs w:val="24"/>
        </w:rPr>
        <w:tab/>
      </w:r>
      <w:r w:rsidR="00DA0CD9" w:rsidRPr="00B61F2D">
        <w:rPr>
          <w:rFonts w:ascii="Times New Roman" w:hAnsi="Times New Roman" w:cs="Times New Roman"/>
          <w:sz w:val="24"/>
          <w:szCs w:val="24"/>
        </w:rPr>
        <w:tab/>
      </w:r>
      <w:r w:rsidR="00DA0CD9" w:rsidRPr="00B61F2D">
        <w:rPr>
          <w:rFonts w:ascii="Times New Roman" w:hAnsi="Times New Roman" w:cs="Times New Roman"/>
          <w:sz w:val="24"/>
          <w:szCs w:val="24"/>
        </w:rPr>
        <w:tab/>
        <w:t>$1,000,000</w:t>
      </w:r>
    </w:p>
    <w:p w14:paraId="233E6759" w14:textId="77777777" w:rsidR="00BA59AF" w:rsidRPr="00B61F2D" w:rsidRDefault="00BA59AF" w:rsidP="00FF0D7E">
      <w:pPr>
        <w:pStyle w:val="ListParagraph"/>
        <w:ind w:left="2160" w:right="-288"/>
        <w:rPr>
          <w:rFonts w:ascii="Times New Roman" w:hAnsi="Times New Roman" w:cs="Times New Roman"/>
          <w:sz w:val="24"/>
          <w:szCs w:val="24"/>
        </w:rPr>
      </w:pPr>
    </w:p>
    <w:p w14:paraId="315218E9" w14:textId="01355E8D" w:rsidR="00DA0CD9" w:rsidRPr="00B61F2D" w:rsidRDefault="00902019" w:rsidP="00DA0CD9">
      <w:pPr>
        <w:pStyle w:val="ListParagraph"/>
        <w:numPr>
          <w:ilvl w:val="1"/>
          <w:numId w:val="17"/>
        </w:numPr>
        <w:ind w:right="-288"/>
        <w:rPr>
          <w:rFonts w:ascii="Times New Roman" w:hAnsi="Times New Roman" w:cs="Times New Roman"/>
          <w:sz w:val="24"/>
          <w:szCs w:val="24"/>
        </w:rPr>
      </w:pPr>
      <w:r w:rsidRPr="00B61F2D">
        <w:rPr>
          <w:rFonts w:ascii="Times New Roman" w:hAnsi="Times New Roman" w:cs="Times New Roman"/>
          <w:sz w:val="24"/>
          <w:szCs w:val="24"/>
        </w:rPr>
        <w:t xml:space="preserve">Automobile </w:t>
      </w:r>
      <w:r w:rsidR="00610F15" w:rsidRPr="00B61F2D">
        <w:rPr>
          <w:rFonts w:ascii="Times New Roman" w:hAnsi="Times New Roman" w:cs="Times New Roman"/>
          <w:sz w:val="24"/>
          <w:szCs w:val="24"/>
        </w:rPr>
        <w:t>Liability Limits – ISO form CA0001 (BAP) or equivalent including coverage for owned</w:t>
      </w:r>
      <w:r w:rsidR="009F1478" w:rsidRPr="00B61F2D">
        <w:rPr>
          <w:rFonts w:ascii="Times New Roman" w:hAnsi="Times New Roman" w:cs="Times New Roman"/>
          <w:sz w:val="24"/>
          <w:szCs w:val="24"/>
        </w:rPr>
        <w:t>, non-owned and hired autos</w:t>
      </w:r>
    </w:p>
    <w:p w14:paraId="44A9499B" w14:textId="77777777" w:rsidR="00623295" w:rsidRPr="00B61F2D" w:rsidRDefault="00623295" w:rsidP="000C5306">
      <w:pPr>
        <w:pStyle w:val="ListParagraph"/>
        <w:ind w:left="1440" w:right="-288"/>
        <w:rPr>
          <w:rFonts w:ascii="Times New Roman" w:hAnsi="Times New Roman" w:cs="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837"/>
      </w:tblGrid>
      <w:tr w:rsidR="00D50FB9" w:rsidRPr="00B61F2D" w14:paraId="329B5919" w14:textId="77777777" w:rsidTr="00CF004A">
        <w:tc>
          <w:tcPr>
            <w:tcW w:w="3505" w:type="dxa"/>
          </w:tcPr>
          <w:p w14:paraId="6EA28F0C" w14:textId="4C890543" w:rsidR="00D50FB9" w:rsidRPr="00B61F2D" w:rsidRDefault="00D50FB9" w:rsidP="000C5306">
            <w:pPr>
              <w:pStyle w:val="ListParagraph"/>
              <w:ind w:left="0" w:right="-288"/>
              <w:rPr>
                <w:rFonts w:ascii="Times New Roman" w:hAnsi="Times New Roman" w:cs="Times New Roman"/>
                <w:sz w:val="24"/>
                <w:szCs w:val="24"/>
              </w:rPr>
            </w:pPr>
            <w:r w:rsidRPr="00B61F2D">
              <w:rPr>
                <w:rFonts w:ascii="Times New Roman" w:hAnsi="Times New Roman" w:cs="Times New Roman"/>
                <w:sz w:val="24"/>
                <w:szCs w:val="24"/>
              </w:rPr>
              <w:t>Bodily &amp; Property Damage Combined Single Limit:</w:t>
            </w:r>
          </w:p>
        </w:tc>
        <w:tc>
          <w:tcPr>
            <w:tcW w:w="4837" w:type="dxa"/>
          </w:tcPr>
          <w:p w14:paraId="6D56B645" w14:textId="35F1DE8B" w:rsidR="00D50FB9" w:rsidRPr="00B61F2D" w:rsidRDefault="00D50FB9" w:rsidP="000C5306">
            <w:pPr>
              <w:pStyle w:val="ListParagraph"/>
              <w:ind w:left="0" w:right="-288"/>
              <w:rPr>
                <w:rFonts w:ascii="Times New Roman" w:hAnsi="Times New Roman" w:cs="Times New Roman"/>
                <w:sz w:val="24"/>
                <w:szCs w:val="24"/>
              </w:rPr>
            </w:pPr>
            <w:r w:rsidRPr="00B61F2D">
              <w:rPr>
                <w:rFonts w:ascii="Times New Roman" w:hAnsi="Times New Roman" w:cs="Times New Roman"/>
                <w:sz w:val="24"/>
                <w:szCs w:val="24"/>
              </w:rPr>
              <w:t>$1,000,000</w:t>
            </w:r>
          </w:p>
        </w:tc>
      </w:tr>
    </w:tbl>
    <w:p w14:paraId="585DDE4F" w14:textId="20091D55" w:rsidR="00934771" w:rsidRPr="00B61F2D" w:rsidRDefault="007767CC" w:rsidP="00131BEF">
      <w:pPr>
        <w:pStyle w:val="Heading1"/>
        <w:spacing w:before="240"/>
      </w:pPr>
      <w:r w:rsidRPr="00B61F2D">
        <w:rPr>
          <w:szCs w:val="24"/>
        </w:rPr>
        <w:t>SCC-</w:t>
      </w:r>
      <w:r w:rsidR="00783346" w:rsidRPr="00B61F2D">
        <w:rPr>
          <w:szCs w:val="24"/>
        </w:rPr>
        <w:t>2</w:t>
      </w:r>
      <w:r w:rsidRPr="00B61F2D">
        <w:rPr>
          <w:szCs w:val="24"/>
        </w:rPr>
        <w:tab/>
      </w:r>
      <w:r w:rsidRPr="00B61F2D">
        <w:rPr>
          <w:szCs w:val="24"/>
        </w:rPr>
        <w:tab/>
      </w:r>
      <w:r w:rsidR="00967698" w:rsidRPr="00B61F2D">
        <w:rPr>
          <w:szCs w:val="24"/>
        </w:rPr>
        <w:t>EVENINGS, WEEKENDS AND HOLIDAYS</w:t>
      </w:r>
    </w:p>
    <w:p w14:paraId="4483CF42" w14:textId="1E01E5A4" w:rsidR="00396F80" w:rsidRDefault="00655C6B" w:rsidP="00131BEF">
      <w:pPr>
        <w:autoSpaceDE w:val="0"/>
        <w:autoSpaceDN w:val="0"/>
        <w:spacing w:before="240"/>
        <w:rPr>
          <w:color w:val="000000" w:themeColor="text1"/>
          <w:sz w:val="24"/>
          <w:szCs w:val="24"/>
        </w:rPr>
      </w:pPr>
      <w:r w:rsidRPr="0828D1C8">
        <w:rPr>
          <w:color w:val="000000" w:themeColor="text1"/>
          <w:sz w:val="24"/>
          <w:szCs w:val="24"/>
        </w:rPr>
        <w:t xml:space="preserve">The CONTRACT is between the CONTRACTOR and a third-party, not the </w:t>
      </w:r>
      <w:r w:rsidR="003D477D" w:rsidRPr="0828D1C8">
        <w:rPr>
          <w:color w:val="000000" w:themeColor="text1"/>
          <w:sz w:val="24"/>
          <w:szCs w:val="24"/>
        </w:rPr>
        <w:t xml:space="preserve">City; therefore </w:t>
      </w:r>
      <w:r w:rsidR="000C7EA8" w:rsidRPr="0828D1C8">
        <w:rPr>
          <w:color w:val="000000" w:themeColor="text1"/>
          <w:sz w:val="24"/>
          <w:szCs w:val="24"/>
        </w:rPr>
        <w:t>Section 303 and Section 304 of the contract</w:t>
      </w:r>
      <w:r w:rsidR="00F70C74" w:rsidRPr="0828D1C8">
        <w:rPr>
          <w:color w:val="000000" w:themeColor="text1"/>
          <w:sz w:val="24"/>
          <w:szCs w:val="24"/>
        </w:rPr>
        <w:t>, which identify when work shall be performed</w:t>
      </w:r>
      <w:r w:rsidR="005344C6" w:rsidRPr="0828D1C8">
        <w:rPr>
          <w:color w:val="000000" w:themeColor="text1"/>
          <w:sz w:val="24"/>
          <w:szCs w:val="24"/>
        </w:rPr>
        <w:t xml:space="preserve">, do not apply. Work may occur on </w:t>
      </w:r>
      <w:r w:rsidR="006570A2" w:rsidRPr="0828D1C8">
        <w:rPr>
          <w:color w:val="000000" w:themeColor="text1"/>
          <w:sz w:val="24"/>
          <w:szCs w:val="24"/>
        </w:rPr>
        <w:t xml:space="preserve">standard workdays, </w:t>
      </w:r>
      <w:r w:rsidR="003D477D" w:rsidRPr="0828D1C8">
        <w:rPr>
          <w:color w:val="000000" w:themeColor="text1"/>
          <w:sz w:val="24"/>
          <w:szCs w:val="24"/>
        </w:rPr>
        <w:t>evenings</w:t>
      </w:r>
      <w:r w:rsidR="006570A2" w:rsidRPr="0828D1C8">
        <w:rPr>
          <w:color w:val="000000" w:themeColor="text1"/>
          <w:sz w:val="24"/>
          <w:szCs w:val="24"/>
        </w:rPr>
        <w:t>,</w:t>
      </w:r>
      <w:r w:rsidR="003D477D" w:rsidRPr="0828D1C8">
        <w:rPr>
          <w:color w:val="000000" w:themeColor="text1"/>
          <w:sz w:val="24"/>
          <w:szCs w:val="24"/>
        </w:rPr>
        <w:t xml:space="preserve"> weekends</w:t>
      </w:r>
      <w:r w:rsidR="006570A2" w:rsidRPr="0828D1C8">
        <w:rPr>
          <w:color w:val="000000" w:themeColor="text1"/>
          <w:sz w:val="24"/>
          <w:szCs w:val="24"/>
        </w:rPr>
        <w:t xml:space="preserve"> and holidays as determined by the parties to the CONTRACT</w:t>
      </w:r>
      <w:r w:rsidR="00DF177F" w:rsidRPr="0828D1C8">
        <w:rPr>
          <w:color w:val="000000" w:themeColor="text1"/>
          <w:sz w:val="24"/>
          <w:szCs w:val="24"/>
        </w:rPr>
        <w:t>.</w:t>
      </w:r>
    </w:p>
    <w:p w14:paraId="49D38039" w14:textId="77777777" w:rsidR="00396F80" w:rsidRPr="00B1763E" w:rsidRDefault="00396F80" w:rsidP="00131BEF">
      <w:pPr>
        <w:autoSpaceDE w:val="0"/>
        <w:autoSpaceDN w:val="0"/>
        <w:spacing w:before="240"/>
        <w:rPr>
          <w:color w:val="000000"/>
          <w:sz w:val="24"/>
          <w:szCs w:val="24"/>
        </w:rPr>
      </w:pPr>
    </w:p>
    <w:p w14:paraId="3767D2A1" w14:textId="1D26E9B3" w:rsidR="00F50A28" w:rsidRPr="00B61F2D" w:rsidRDefault="00F50A28" w:rsidP="00131BEF">
      <w:pPr>
        <w:pStyle w:val="Heading1"/>
        <w:spacing w:after="240"/>
      </w:pPr>
      <w:bookmarkStart w:id="2" w:name="_Toc106314575"/>
      <w:r w:rsidRPr="00B61F2D">
        <w:rPr>
          <w:szCs w:val="24"/>
        </w:rPr>
        <w:t>SCC-3</w:t>
      </w:r>
      <w:r w:rsidRPr="00B61F2D">
        <w:rPr>
          <w:szCs w:val="24"/>
        </w:rPr>
        <w:tab/>
      </w:r>
      <w:r w:rsidRPr="00B61F2D">
        <w:rPr>
          <w:szCs w:val="24"/>
        </w:rPr>
        <w:tab/>
      </w:r>
      <w:r w:rsidR="00441745" w:rsidRPr="00B61F2D">
        <w:rPr>
          <w:szCs w:val="24"/>
        </w:rPr>
        <w:t>PROGRESS PAYMENTS</w:t>
      </w:r>
      <w:r w:rsidR="00655FE4" w:rsidRPr="00B61F2D">
        <w:rPr>
          <w:szCs w:val="24"/>
        </w:rPr>
        <w:t xml:space="preserve"> </w:t>
      </w:r>
    </w:p>
    <w:p w14:paraId="21EEE88E" w14:textId="5DE068EE" w:rsidR="00335128" w:rsidRPr="00B61F2D" w:rsidRDefault="00052197" w:rsidP="00131BEF">
      <w:pPr>
        <w:spacing w:after="240"/>
        <w:rPr>
          <w:sz w:val="24"/>
          <w:szCs w:val="24"/>
        </w:rPr>
      </w:pPr>
      <w:r w:rsidRPr="00B61F2D">
        <w:rPr>
          <w:sz w:val="24"/>
          <w:szCs w:val="24"/>
        </w:rPr>
        <w:t xml:space="preserve">Sections </w:t>
      </w:r>
      <w:r w:rsidR="00932A3E" w:rsidRPr="00B61F2D">
        <w:rPr>
          <w:sz w:val="24"/>
          <w:szCs w:val="24"/>
        </w:rPr>
        <w:t>503</w:t>
      </w:r>
      <w:r w:rsidR="0063470A" w:rsidRPr="00B61F2D">
        <w:rPr>
          <w:sz w:val="24"/>
          <w:szCs w:val="24"/>
        </w:rPr>
        <w:t xml:space="preserve"> to</w:t>
      </w:r>
      <w:r w:rsidR="000B3904" w:rsidRPr="00B61F2D">
        <w:rPr>
          <w:sz w:val="24"/>
          <w:szCs w:val="24"/>
        </w:rPr>
        <w:t xml:space="preserve"> </w:t>
      </w:r>
      <w:r w:rsidR="00975F40" w:rsidRPr="00B61F2D">
        <w:rPr>
          <w:sz w:val="24"/>
          <w:szCs w:val="24"/>
        </w:rPr>
        <w:t>505 of the General Conditions</w:t>
      </w:r>
      <w:r w:rsidR="006F767F" w:rsidRPr="00B61F2D">
        <w:rPr>
          <w:sz w:val="24"/>
          <w:szCs w:val="24"/>
        </w:rPr>
        <w:t>, which address progress payments</w:t>
      </w:r>
      <w:r w:rsidR="0063470A" w:rsidRPr="00B61F2D">
        <w:rPr>
          <w:sz w:val="24"/>
          <w:szCs w:val="24"/>
        </w:rPr>
        <w:t>,</w:t>
      </w:r>
      <w:r w:rsidR="00830123" w:rsidRPr="00B61F2D">
        <w:rPr>
          <w:sz w:val="24"/>
          <w:szCs w:val="24"/>
        </w:rPr>
        <w:t xml:space="preserve"> </w:t>
      </w:r>
      <w:r w:rsidR="006F767F" w:rsidRPr="00B61F2D">
        <w:rPr>
          <w:sz w:val="24"/>
          <w:szCs w:val="24"/>
        </w:rPr>
        <w:t xml:space="preserve">are </w:t>
      </w:r>
      <w:r w:rsidR="00EA5A6E" w:rsidRPr="00B61F2D">
        <w:rPr>
          <w:sz w:val="24"/>
          <w:szCs w:val="24"/>
        </w:rPr>
        <w:t>replaced by</w:t>
      </w:r>
      <w:r w:rsidR="006F767F" w:rsidRPr="00B61F2D">
        <w:rPr>
          <w:sz w:val="24"/>
          <w:szCs w:val="24"/>
        </w:rPr>
        <w:t xml:space="preserve"> </w:t>
      </w:r>
      <w:r w:rsidR="00335128" w:rsidRPr="00B61F2D">
        <w:rPr>
          <w:sz w:val="24"/>
          <w:szCs w:val="24"/>
        </w:rPr>
        <w:t xml:space="preserve">the </w:t>
      </w:r>
      <w:r w:rsidR="0041443A">
        <w:rPr>
          <w:sz w:val="24"/>
          <w:szCs w:val="24"/>
        </w:rPr>
        <w:t>Healthy and Resilient Mobile Homes Grant Program</w:t>
      </w:r>
      <w:r w:rsidR="001D0512" w:rsidRPr="00B61F2D">
        <w:rPr>
          <w:sz w:val="24"/>
          <w:szCs w:val="24"/>
        </w:rPr>
        <w:t xml:space="preserve"> </w:t>
      </w:r>
      <w:r w:rsidR="00EA1AAC" w:rsidRPr="00B61F2D">
        <w:rPr>
          <w:sz w:val="24"/>
          <w:szCs w:val="24"/>
        </w:rPr>
        <w:t xml:space="preserve">Regulations and Procedure document, Section V, “Program Procedures”, </w:t>
      </w:r>
      <w:r w:rsidR="000B3904" w:rsidRPr="00B61F2D">
        <w:rPr>
          <w:sz w:val="24"/>
          <w:szCs w:val="24"/>
        </w:rPr>
        <w:t xml:space="preserve">item </w:t>
      </w:r>
      <w:r w:rsidR="00E74A56" w:rsidRPr="00B61F2D">
        <w:rPr>
          <w:sz w:val="24"/>
          <w:szCs w:val="24"/>
        </w:rPr>
        <w:t>10</w:t>
      </w:r>
      <w:r w:rsidR="00B35D9F" w:rsidRPr="00B61F2D">
        <w:rPr>
          <w:sz w:val="24"/>
          <w:szCs w:val="24"/>
        </w:rPr>
        <w:t>, which state</w:t>
      </w:r>
      <w:r w:rsidR="000B3904" w:rsidRPr="00B61F2D">
        <w:rPr>
          <w:sz w:val="24"/>
          <w:szCs w:val="24"/>
        </w:rPr>
        <w:t>s</w:t>
      </w:r>
      <w:r w:rsidR="00B35D9F" w:rsidRPr="00B61F2D">
        <w:rPr>
          <w:sz w:val="24"/>
          <w:szCs w:val="24"/>
        </w:rPr>
        <w:t>:</w:t>
      </w:r>
    </w:p>
    <w:p w14:paraId="655C5A10" w14:textId="46261646" w:rsidR="00335128" w:rsidRDefault="00335128" w:rsidP="00DF177F">
      <w:pPr>
        <w:pStyle w:val="Default"/>
        <w:ind w:left="720"/>
      </w:pPr>
      <w:r w:rsidRPr="00B61F2D">
        <w:lastRenderedPageBreak/>
        <w:t xml:space="preserve">Project Manager will pay the Contractor 50% of the Grant Amount upon execution of the contract between the grant recipient and contractor and its submission to grant Project Manager. </w:t>
      </w:r>
    </w:p>
    <w:p w14:paraId="3E314F93" w14:textId="77777777" w:rsidR="00131BEF" w:rsidRDefault="00131BEF" w:rsidP="00DF177F">
      <w:pPr>
        <w:pStyle w:val="Default"/>
        <w:ind w:left="720"/>
      </w:pPr>
    </w:p>
    <w:p w14:paraId="6C14188D" w14:textId="77777777" w:rsidR="00131BEF" w:rsidRPr="00B61F2D" w:rsidRDefault="00131BEF" w:rsidP="00DF177F">
      <w:pPr>
        <w:pStyle w:val="Default"/>
        <w:ind w:left="720"/>
      </w:pPr>
    </w:p>
    <w:p w14:paraId="36187E39" w14:textId="6BD98690" w:rsidR="00506861" w:rsidRDefault="00506861" w:rsidP="00506861">
      <w:pPr>
        <w:pStyle w:val="Heading1"/>
        <w:rPr>
          <w:szCs w:val="24"/>
        </w:rPr>
      </w:pPr>
      <w:r w:rsidRPr="00B61F2D">
        <w:rPr>
          <w:szCs w:val="24"/>
        </w:rPr>
        <w:t>SCC-4</w:t>
      </w:r>
      <w:r w:rsidRPr="00B61F2D">
        <w:rPr>
          <w:szCs w:val="24"/>
        </w:rPr>
        <w:tab/>
      </w:r>
      <w:r w:rsidRPr="00B61F2D">
        <w:rPr>
          <w:szCs w:val="24"/>
        </w:rPr>
        <w:tab/>
        <w:t>FINAL PAYMENT</w:t>
      </w:r>
    </w:p>
    <w:p w14:paraId="130C21D9" w14:textId="77777777" w:rsidR="00131BEF" w:rsidRPr="00131BEF" w:rsidRDefault="00131BEF" w:rsidP="0016377D"/>
    <w:p w14:paraId="435DC782" w14:textId="2B55201C" w:rsidR="00337834" w:rsidRPr="00B61F2D" w:rsidRDefault="00506861" w:rsidP="00506861">
      <w:pPr>
        <w:rPr>
          <w:sz w:val="24"/>
          <w:szCs w:val="24"/>
        </w:rPr>
      </w:pPr>
      <w:r w:rsidRPr="00B61F2D">
        <w:rPr>
          <w:sz w:val="24"/>
          <w:szCs w:val="24"/>
        </w:rPr>
        <w:t>Sections 510 and 511 of the General Conditions, which address final payments</w:t>
      </w:r>
      <w:r w:rsidR="00002B53" w:rsidRPr="00B61F2D">
        <w:rPr>
          <w:sz w:val="24"/>
          <w:szCs w:val="24"/>
        </w:rPr>
        <w:t>,</w:t>
      </w:r>
      <w:r w:rsidRPr="00B61F2D">
        <w:rPr>
          <w:sz w:val="24"/>
          <w:szCs w:val="24"/>
        </w:rPr>
        <w:t xml:space="preserve"> are modified to conform</w:t>
      </w:r>
      <w:r w:rsidR="000B3904" w:rsidRPr="00B61F2D">
        <w:rPr>
          <w:sz w:val="24"/>
          <w:szCs w:val="24"/>
        </w:rPr>
        <w:t xml:space="preserve"> to the </w:t>
      </w:r>
      <w:r w:rsidR="0041443A">
        <w:rPr>
          <w:sz w:val="24"/>
          <w:szCs w:val="24"/>
        </w:rPr>
        <w:t>Healthy and Resilient Mobile Homes Grant Program</w:t>
      </w:r>
      <w:r w:rsidR="000B3904" w:rsidRPr="00B61F2D">
        <w:rPr>
          <w:sz w:val="24"/>
          <w:szCs w:val="24"/>
        </w:rPr>
        <w:t xml:space="preserve"> Regulations and Procedure document, Section V, “Program Procedures”</w:t>
      </w:r>
      <w:r w:rsidR="00337834" w:rsidRPr="00B61F2D">
        <w:rPr>
          <w:sz w:val="24"/>
          <w:szCs w:val="24"/>
        </w:rPr>
        <w:t xml:space="preserve">, item 13, which states: </w:t>
      </w:r>
    </w:p>
    <w:p w14:paraId="6E3A84DE" w14:textId="5D09D393" w:rsidR="00337834" w:rsidRDefault="00337834" w:rsidP="00337834">
      <w:pPr>
        <w:ind w:left="720"/>
        <w:rPr>
          <w:sz w:val="24"/>
          <w:szCs w:val="24"/>
        </w:rPr>
      </w:pPr>
      <w:r w:rsidRPr="00B61F2D">
        <w:rPr>
          <w:sz w:val="24"/>
          <w:szCs w:val="24"/>
        </w:rPr>
        <w:t>Once the work is accepted by Grant Recipient, Project Manager will issue a final check to the Contractor for materials and labor costs not yet paid.</w:t>
      </w:r>
    </w:p>
    <w:p w14:paraId="5D0697C0" w14:textId="77777777" w:rsidR="00131BEF" w:rsidRDefault="00131BEF" w:rsidP="00337834">
      <w:pPr>
        <w:ind w:left="720"/>
        <w:rPr>
          <w:sz w:val="24"/>
          <w:szCs w:val="24"/>
        </w:rPr>
      </w:pPr>
    </w:p>
    <w:p w14:paraId="50D9B164" w14:textId="2D76FEEE" w:rsidR="00F909CE" w:rsidRPr="00B61F2D" w:rsidRDefault="00934771" w:rsidP="00F909CE">
      <w:pPr>
        <w:pStyle w:val="Heading1"/>
        <w:rPr>
          <w:szCs w:val="24"/>
        </w:rPr>
      </w:pPr>
      <w:r w:rsidRPr="00B61F2D">
        <w:rPr>
          <w:szCs w:val="24"/>
        </w:rPr>
        <w:t>SCC-</w:t>
      </w:r>
      <w:r w:rsidR="00F66F49" w:rsidRPr="00B61F2D">
        <w:rPr>
          <w:szCs w:val="24"/>
        </w:rPr>
        <w:t>5</w:t>
      </w:r>
      <w:r w:rsidRPr="00B61F2D">
        <w:rPr>
          <w:szCs w:val="24"/>
        </w:rPr>
        <w:tab/>
      </w:r>
      <w:r w:rsidRPr="00B61F2D">
        <w:rPr>
          <w:szCs w:val="24"/>
        </w:rPr>
        <w:tab/>
      </w:r>
      <w:bookmarkEnd w:id="2"/>
      <w:r w:rsidR="00E15675" w:rsidRPr="00B61F2D">
        <w:rPr>
          <w:szCs w:val="24"/>
        </w:rPr>
        <w:t>CONTRACTOR’S WARRANTY AND GUARANTEE</w:t>
      </w:r>
    </w:p>
    <w:p w14:paraId="4A7717DA" w14:textId="77777777" w:rsidR="00F909CE" w:rsidRPr="00B61F2D" w:rsidRDefault="00F909CE" w:rsidP="00F909CE">
      <w:pPr>
        <w:autoSpaceDE w:val="0"/>
        <w:autoSpaceDN w:val="0"/>
        <w:adjustRightInd w:val="0"/>
        <w:rPr>
          <w:b/>
          <w:bCs/>
          <w:color w:val="000000"/>
          <w:sz w:val="24"/>
          <w:szCs w:val="24"/>
        </w:rPr>
      </w:pPr>
    </w:p>
    <w:p w14:paraId="42E58189" w14:textId="5B040B7B" w:rsidR="008D418E" w:rsidRPr="00B61F2D" w:rsidRDefault="008D418E" w:rsidP="00934771">
      <w:pPr>
        <w:rPr>
          <w:color w:val="000000"/>
          <w:sz w:val="24"/>
          <w:szCs w:val="24"/>
        </w:rPr>
      </w:pPr>
      <w:r w:rsidRPr="00B61F2D">
        <w:rPr>
          <w:color w:val="000000"/>
          <w:sz w:val="24"/>
          <w:szCs w:val="24"/>
        </w:rPr>
        <w:t>Section</w:t>
      </w:r>
      <w:r w:rsidR="00377CE6" w:rsidRPr="00B61F2D">
        <w:rPr>
          <w:color w:val="000000"/>
          <w:sz w:val="24"/>
          <w:szCs w:val="24"/>
        </w:rPr>
        <w:t xml:space="preserve"> 601 in the General Conditions is modified so th</w:t>
      </w:r>
      <w:r w:rsidR="009E7F2E" w:rsidRPr="00B61F2D">
        <w:rPr>
          <w:color w:val="000000"/>
          <w:sz w:val="24"/>
          <w:szCs w:val="24"/>
        </w:rPr>
        <w:t>e CONTRACTOR</w:t>
      </w:r>
      <w:r w:rsidR="00EA1728" w:rsidRPr="00B61F2D">
        <w:rPr>
          <w:color w:val="000000"/>
          <w:sz w:val="24"/>
          <w:szCs w:val="24"/>
        </w:rPr>
        <w:t>’s guarantee and warranty periods shall continue for a period of one (1) year</w:t>
      </w:r>
      <w:r w:rsidR="00FB77FB" w:rsidRPr="00B61F2D">
        <w:rPr>
          <w:color w:val="000000"/>
          <w:sz w:val="24"/>
          <w:szCs w:val="24"/>
        </w:rPr>
        <w:t xml:space="preserve"> only, </w:t>
      </w:r>
      <w:r w:rsidR="00FB77FB" w:rsidRPr="00B61F2D">
        <w:rPr>
          <w:color w:val="000000"/>
          <w:sz w:val="24"/>
          <w:szCs w:val="24"/>
          <w:u w:val="single"/>
        </w:rPr>
        <w:t>not</w:t>
      </w:r>
      <w:r w:rsidR="00FB77FB" w:rsidRPr="00B61F2D">
        <w:rPr>
          <w:color w:val="000000"/>
          <w:sz w:val="24"/>
          <w:szCs w:val="24"/>
        </w:rPr>
        <w:t xml:space="preserve"> two (2) years. </w:t>
      </w:r>
      <w:r w:rsidR="00C45CEF" w:rsidRPr="00B61F2D">
        <w:rPr>
          <w:color w:val="000000"/>
          <w:sz w:val="24"/>
          <w:szCs w:val="24"/>
        </w:rPr>
        <w:t xml:space="preserve">Section 617 and 618 of the General Conditions, </w:t>
      </w:r>
      <w:r w:rsidR="00EB3A2B" w:rsidRPr="00B61F2D">
        <w:rPr>
          <w:color w:val="000000"/>
          <w:sz w:val="24"/>
          <w:szCs w:val="24"/>
        </w:rPr>
        <w:t xml:space="preserve">which describe conditions for an extension to the guarantee period and </w:t>
      </w:r>
      <w:r w:rsidR="009A13A5" w:rsidRPr="00B61F2D">
        <w:rPr>
          <w:color w:val="000000"/>
          <w:sz w:val="24"/>
          <w:szCs w:val="24"/>
        </w:rPr>
        <w:t>an inspection at the end of the guarante</w:t>
      </w:r>
      <w:r w:rsidR="00983401" w:rsidRPr="00B61F2D">
        <w:rPr>
          <w:color w:val="000000"/>
          <w:sz w:val="24"/>
          <w:szCs w:val="24"/>
        </w:rPr>
        <w:t>e period do not apply.</w:t>
      </w:r>
    </w:p>
    <w:p w14:paraId="043923B5" w14:textId="77777777" w:rsidR="00B61F2D" w:rsidRPr="00B61F2D" w:rsidRDefault="00B61F2D" w:rsidP="00B61F2D">
      <w:pPr>
        <w:rPr>
          <w:sz w:val="24"/>
          <w:szCs w:val="24"/>
        </w:rPr>
      </w:pPr>
      <w:bookmarkStart w:id="3" w:name="_Toc106314576"/>
    </w:p>
    <w:p w14:paraId="5A2CDC41" w14:textId="3C364669" w:rsidR="00934771" w:rsidRPr="00B61F2D" w:rsidRDefault="00934771" w:rsidP="00934771">
      <w:pPr>
        <w:pStyle w:val="Heading1"/>
        <w:rPr>
          <w:szCs w:val="24"/>
        </w:rPr>
      </w:pPr>
      <w:r w:rsidRPr="00B61F2D">
        <w:rPr>
          <w:szCs w:val="24"/>
        </w:rPr>
        <w:t>SCC-</w:t>
      </w:r>
      <w:r w:rsidR="00462643" w:rsidRPr="00B61F2D">
        <w:rPr>
          <w:szCs w:val="24"/>
        </w:rPr>
        <w:t>6</w:t>
      </w:r>
      <w:r w:rsidRPr="00B61F2D">
        <w:rPr>
          <w:szCs w:val="24"/>
        </w:rPr>
        <w:tab/>
      </w:r>
      <w:r w:rsidR="00876902">
        <w:rPr>
          <w:szCs w:val="24"/>
        </w:rPr>
        <w:tab/>
      </w:r>
      <w:r w:rsidR="00462643" w:rsidRPr="00B61F2D">
        <w:rPr>
          <w:szCs w:val="24"/>
        </w:rPr>
        <w:t>SUBSTANTIAL COMPLETION</w:t>
      </w:r>
      <w:r w:rsidR="000D1742" w:rsidRPr="00B61F2D">
        <w:rPr>
          <w:szCs w:val="24"/>
        </w:rPr>
        <w:t xml:space="preserve"> AND RIGHT OF OCCUPANCY</w:t>
      </w:r>
      <w:bookmarkEnd w:id="3"/>
    </w:p>
    <w:p w14:paraId="060A9657" w14:textId="77777777" w:rsidR="00934771" w:rsidRPr="00B61F2D" w:rsidRDefault="00934771" w:rsidP="00934771">
      <w:pPr>
        <w:rPr>
          <w:sz w:val="24"/>
          <w:szCs w:val="24"/>
        </w:rPr>
      </w:pPr>
    </w:p>
    <w:p w14:paraId="7ABB605A" w14:textId="2CB20C8D" w:rsidR="00D37602" w:rsidRPr="00444639" w:rsidRDefault="00462643" w:rsidP="00444639">
      <w:pPr>
        <w:rPr>
          <w:sz w:val="24"/>
          <w:szCs w:val="24"/>
        </w:rPr>
      </w:pPr>
      <w:r w:rsidRPr="0802CD72">
        <w:rPr>
          <w:sz w:val="24"/>
          <w:szCs w:val="24"/>
        </w:rPr>
        <w:t>The contracting party is not the City</w:t>
      </w:r>
      <w:r w:rsidR="00CB196C" w:rsidRPr="0802CD72">
        <w:rPr>
          <w:sz w:val="24"/>
          <w:szCs w:val="24"/>
        </w:rPr>
        <w:t xml:space="preserve"> and the property subject to </w:t>
      </w:r>
      <w:r w:rsidR="32088474" w:rsidRPr="0802CD72">
        <w:rPr>
          <w:sz w:val="24"/>
          <w:szCs w:val="24"/>
        </w:rPr>
        <w:t>CONTRACT</w:t>
      </w:r>
      <w:r w:rsidR="00CB196C" w:rsidRPr="0802CD72">
        <w:rPr>
          <w:sz w:val="24"/>
          <w:szCs w:val="24"/>
        </w:rPr>
        <w:t xml:space="preserve"> does not belong to the </w:t>
      </w:r>
      <w:r w:rsidR="19476C2D" w:rsidRPr="0802CD72">
        <w:rPr>
          <w:sz w:val="24"/>
          <w:szCs w:val="24"/>
        </w:rPr>
        <w:t>C</w:t>
      </w:r>
      <w:r w:rsidR="00CB196C" w:rsidRPr="0802CD72">
        <w:rPr>
          <w:sz w:val="24"/>
          <w:szCs w:val="24"/>
        </w:rPr>
        <w:t>ity</w:t>
      </w:r>
      <w:r w:rsidRPr="0802CD72">
        <w:rPr>
          <w:sz w:val="24"/>
          <w:szCs w:val="24"/>
        </w:rPr>
        <w:t xml:space="preserve">, therefore </w:t>
      </w:r>
      <w:r w:rsidR="006241BB" w:rsidRPr="0802CD72">
        <w:rPr>
          <w:sz w:val="24"/>
          <w:szCs w:val="24"/>
        </w:rPr>
        <w:t>“substantial completion”</w:t>
      </w:r>
      <w:r w:rsidR="00187BC2" w:rsidRPr="0802CD72">
        <w:rPr>
          <w:sz w:val="24"/>
          <w:szCs w:val="24"/>
        </w:rPr>
        <w:t>,</w:t>
      </w:r>
      <w:r w:rsidR="000A2EC6" w:rsidRPr="0802CD72">
        <w:rPr>
          <w:sz w:val="24"/>
          <w:szCs w:val="24"/>
        </w:rPr>
        <w:t xml:space="preserve"> defined in Section 613</w:t>
      </w:r>
      <w:r w:rsidR="00187BC2" w:rsidRPr="0802CD72">
        <w:rPr>
          <w:sz w:val="24"/>
          <w:szCs w:val="24"/>
        </w:rPr>
        <w:t xml:space="preserve"> as </w:t>
      </w:r>
      <w:r w:rsidR="00E80FBA" w:rsidRPr="0802CD72">
        <w:rPr>
          <w:sz w:val="24"/>
          <w:szCs w:val="24"/>
        </w:rPr>
        <w:t xml:space="preserve">“the point that the City may occupy and fully utilize the facilities” without nuisance, </w:t>
      </w:r>
      <w:r w:rsidR="000A2EC6" w:rsidRPr="0802CD72">
        <w:rPr>
          <w:sz w:val="24"/>
          <w:szCs w:val="24"/>
        </w:rPr>
        <w:t xml:space="preserve">is not relevant </w:t>
      </w:r>
      <w:r w:rsidR="00243D48" w:rsidRPr="0802CD72">
        <w:rPr>
          <w:sz w:val="24"/>
          <w:szCs w:val="24"/>
        </w:rPr>
        <w:t xml:space="preserve">and this </w:t>
      </w:r>
      <w:r w:rsidR="004760EA" w:rsidRPr="0802CD72">
        <w:rPr>
          <w:sz w:val="24"/>
          <w:szCs w:val="24"/>
        </w:rPr>
        <w:t>section</w:t>
      </w:r>
      <w:r w:rsidR="00243D48" w:rsidRPr="0802CD72">
        <w:rPr>
          <w:sz w:val="24"/>
          <w:szCs w:val="24"/>
        </w:rPr>
        <w:t xml:space="preserve"> does not apply.</w:t>
      </w:r>
      <w:r w:rsidR="00C93D9A" w:rsidRPr="0802CD72">
        <w:rPr>
          <w:sz w:val="24"/>
          <w:szCs w:val="24"/>
        </w:rPr>
        <w:t xml:space="preserve"> </w:t>
      </w:r>
      <w:r w:rsidR="00BE579E" w:rsidRPr="0802CD72">
        <w:rPr>
          <w:sz w:val="24"/>
          <w:szCs w:val="24"/>
        </w:rPr>
        <w:t>Similarly,</w:t>
      </w:r>
      <w:r w:rsidR="00C93D9A" w:rsidRPr="0802CD72">
        <w:rPr>
          <w:sz w:val="24"/>
          <w:szCs w:val="24"/>
        </w:rPr>
        <w:t xml:space="preserve"> </w:t>
      </w:r>
      <w:r w:rsidR="004760EA" w:rsidRPr="0802CD72">
        <w:rPr>
          <w:sz w:val="24"/>
          <w:szCs w:val="24"/>
        </w:rPr>
        <w:t>section 619 of the General Conditions</w:t>
      </w:r>
      <w:r w:rsidR="000D1742" w:rsidRPr="0802CD72">
        <w:rPr>
          <w:sz w:val="24"/>
          <w:szCs w:val="24"/>
        </w:rPr>
        <w:t xml:space="preserve">, which addresses the City’s Right of Occupancy does not apply. </w:t>
      </w:r>
    </w:p>
    <w:sectPr w:rsidR="00D37602" w:rsidRPr="00444639" w:rsidSect="009D129B">
      <w:footerReference w:type="default" r:id="rId11"/>
      <w:endnotePr>
        <w:numFmt w:val="decimal"/>
      </w:endnotePr>
      <w:pgSz w:w="12240" w:h="15840"/>
      <w:pgMar w:top="1440" w:right="1152" w:bottom="1152" w:left="1296" w:header="1440"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0335" w14:textId="77777777" w:rsidR="00A36CF0" w:rsidRDefault="00A36CF0" w:rsidP="00934771">
      <w:pPr>
        <w:spacing w:after="0" w:line="240" w:lineRule="auto"/>
      </w:pPr>
      <w:r>
        <w:separator/>
      </w:r>
    </w:p>
  </w:endnote>
  <w:endnote w:type="continuationSeparator" w:id="0">
    <w:p w14:paraId="68B71796" w14:textId="77777777" w:rsidR="00A36CF0" w:rsidRDefault="00A36CF0" w:rsidP="00934771">
      <w:pPr>
        <w:spacing w:after="0" w:line="240" w:lineRule="auto"/>
      </w:pPr>
      <w:r>
        <w:continuationSeparator/>
      </w:r>
    </w:p>
  </w:endnote>
  <w:endnote w:type="continuationNotice" w:id="1">
    <w:p w14:paraId="442B6A25" w14:textId="77777777" w:rsidR="00A36CF0" w:rsidRDefault="00A36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8CEF" w14:textId="211626C0" w:rsidR="009D129B" w:rsidRDefault="009D129B">
    <w:pPr>
      <w:pStyle w:val="Footer"/>
      <w:jc w:val="right"/>
    </w:pPr>
    <w:r>
      <w:t xml:space="preserve">SPECIAL CONTRACT CONDITIONS   </w:t>
    </w:r>
    <w:r>
      <w:fldChar w:fldCharType="begin"/>
    </w:r>
    <w:r>
      <w:instrText xml:space="preserve"> PAGE   \* MERGEFORMAT </w:instrText>
    </w:r>
    <w:r>
      <w:fldChar w:fldCharType="separate"/>
    </w:r>
    <w:r>
      <w:rPr>
        <w:noProof/>
      </w:rPr>
      <w:t>2</w:t>
    </w:r>
    <w:r>
      <w:rPr>
        <w:noProof/>
      </w:rPr>
      <w:fldChar w:fldCharType="end"/>
    </w:r>
  </w:p>
  <w:p w14:paraId="6E39ED8D" w14:textId="58F04C96" w:rsidR="0090752D" w:rsidRDefault="0090752D" w:rsidP="005B19D4">
    <w:pPr>
      <w:pStyle w:val="DocID"/>
    </w:pPr>
  </w:p>
  <w:p w14:paraId="4AE51C46" w14:textId="4BB16323" w:rsidR="003810BF" w:rsidRPr="004909A1" w:rsidRDefault="00C5072A" w:rsidP="004909A1">
    <w:pPr>
      <w:pStyle w:val="DocID"/>
    </w:pPr>
    <w:r>
      <w:t xml:space="preserve">6/23/2025 </w:t>
    </w:r>
    <w:r w:rsidR="008B40ED">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2B00" w14:textId="77777777" w:rsidR="00A36CF0" w:rsidRDefault="00A36CF0" w:rsidP="00934771">
      <w:pPr>
        <w:spacing w:after="0" w:line="240" w:lineRule="auto"/>
      </w:pPr>
      <w:r>
        <w:separator/>
      </w:r>
    </w:p>
  </w:footnote>
  <w:footnote w:type="continuationSeparator" w:id="0">
    <w:p w14:paraId="67D985EA" w14:textId="77777777" w:rsidR="00A36CF0" w:rsidRDefault="00A36CF0" w:rsidP="00934771">
      <w:pPr>
        <w:spacing w:after="0" w:line="240" w:lineRule="auto"/>
      </w:pPr>
      <w:r>
        <w:continuationSeparator/>
      </w:r>
    </w:p>
  </w:footnote>
  <w:footnote w:type="continuationNotice" w:id="1">
    <w:p w14:paraId="79DAA57C" w14:textId="77777777" w:rsidR="00A36CF0" w:rsidRDefault="00A36C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2046"/>
    <w:multiLevelType w:val="hybridMultilevel"/>
    <w:tmpl w:val="C43A574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DE4E70"/>
    <w:multiLevelType w:val="hybridMultilevel"/>
    <w:tmpl w:val="B8EA8D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A20829"/>
    <w:multiLevelType w:val="hybridMultilevel"/>
    <w:tmpl w:val="6DDA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FD70E5"/>
    <w:multiLevelType w:val="multilevel"/>
    <w:tmpl w:val="8A00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83783"/>
    <w:multiLevelType w:val="hybridMultilevel"/>
    <w:tmpl w:val="B40A68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D4F85"/>
    <w:multiLevelType w:val="hybridMultilevel"/>
    <w:tmpl w:val="8C7E44DC"/>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BC57EE"/>
    <w:multiLevelType w:val="hybridMultilevel"/>
    <w:tmpl w:val="64C8CAC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63A6370E">
      <w:start w:val="1"/>
      <w:numFmt w:val="upperLetter"/>
      <w:lvlText w:val="%3."/>
      <w:lvlJc w:val="right"/>
      <w:pPr>
        <w:ind w:left="2160" w:hanging="180"/>
      </w:pPr>
      <w:rPr>
        <w:rFonts w:ascii="Calibri" w:eastAsia="Times New Roman"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04BA8"/>
    <w:multiLevelType w:val="hybridMultilevel"/>
    <w:tmpl w:val="6E0C61B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37211D50"/>
    <w:multiLevelType w:val="hybridMultilevel"/>
    <w:tmpl w:val="732E320A"/>
    <w:lvl w:ilvl="0" w:tplc="23BE9E1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8B53F7F"/>
    <w:multiLevelType w:val="hybridMultilevel"/>
    <w:tmpl w:val="7E6E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B84BE0"/>
    <w:multiLevelType w:val="hybridMultilevel"/>
    <w:tmpl w:val="2A7C2E9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DA3816"/>
    <w:multiLevelType w:val="hybridMultilevel"/>
    <w:tmpl w:val="D74C25B4"/>
    <w:lvl w:ilvl="0" w:tplc="4B2ADFDC">
      <w:start w:val="6"/>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BBD22EC"/>
    <w:multiLevelType w:val="hybridMultilevel"/>
    <w:tmpl w:val="02C8EB08"/>
    <w:lvl w:ilvl="0" w:tplc="8E2835CA">
      <w:start w:val="1"/>
      <w:numFmt w:val="bullet"/>
      <w:lvlText w:val="o"/>
      <w:lvlJc w:val="left"/>
      <w:pPr>
        <w:ind w:left="576" w:hanging="288"/>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FF79C1"/>
    <w:multiLevelType w:val="hybridMultilevel"/>
    <w:tmpl w:val="ED86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09744C"/>
    <w:multiLevelType w:val="multilevel"/>
    <w:tmpl w:val="199A6EB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tabs>
          <w:tab w:val="num" w:pos="1800"/>
        </w:tabs>
        <w:ind w:left="1800" w:hanging="72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51BFE"/>
    <w:multiLevelType w:val="hybridMultilevel"/>
    <w:tmpl w:val="0DE8E1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D311621"/>
    <w:multiLevelType w:val="hybridMultilevel"/>
    <w:tmpl w:val="38C0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869420">
    <w:abstractNumId w:val="3"/>
  </w:num>
  <w:num w:numId="2" w16cid:durableId="628972551">
    <w:abstractNumId w:val="14"/>
  </w:num>
  <w:num w:numId="3" w16cid:durableId="526139206">
    <w:abstractNumId w:val="7"/>
  </w:num>
  <w:num w:numId="4" w16cid:durableId="2142647475">
    <w:abstractNumId w:val="10"/>
  </w:num>
  <w:num w:numId="5" w16cid:durableId="1473448207">
    <w:abstractNumId w:val="8"/>
  </w:num>
  <w:num w:numId="6" w16cid:durableId="1109660287">
    <w:abstractNumId w:val="5"/>
  </w:num>
  <w:num w:numId="7" w16cid:durableId="393506021">
    <w:abstractNumId w:val="1"/>
  </w:num>
  <w:num w:numId="8" w16cid:durableId="2138835890">
    <w:abstractNumId w:val="11"/>
  </w:num>
  <w:num w:numId="9" w16cid:durableId="452602368">
    <w:abstractNumId w:val="13"/>
  </w:num>
  <w:num w:numId="10" w16cid:durableId="1711763258">
    <w:abstractNumId w:val="2"/>
  </w:num>
  <w:num w:numId="11" w16cid:durableId="855925929">
    <w:abstractNumId w:val="16"/>
  </w:num>
  <w:num w:numId="12" w16cid:durableId="800801832">
    <w:abstractNumId w:val="15"/>
  </w:num>
  <w:num w:numId="13" w16cid:durableId="1312372734">
    <w:abstractNumId w:val="12"/>
  </w:num>
  <w:num w:numId="14" w16cid:durableId="2081250898">
    <w:abstractNumId w:val="9"/>
  </w:num>
  <w:num w:numId="15" w16cid:durableId="635767484">
    <w:abstractNumId w:val="0"/>
  </w:num>
  <w:num w:numId="16" w16cid:durableId="722558936">
    <w:abstractNumId w:val="4"/>
  </w:num>
  <w:num w:numId="17" w16cid:durableId="96385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934771"/>
    <w:rsid w:val="00002193"/>
    <w:rsid w:val="00002B53"/>
    <w:rsid w:val="000065CA"/>
    <w:rsid w:val="00016549"/>
    <w:rsid w:val="00036CA4"/>
    <w:rsid w:val="00037B7D"/>
    <w:rsid w:val="000421DC"/>
    <w:rsid w:val="00047E45"/>
    <w:rsid w:val="00052197"/>
    <w:rsid w:val="000558BE"/>
    <w:rsid w:val="0007532E"/>
    <w:rsid w:val="000902C0"/>
    <w:rsid w:val="000943F0"/>
    <w:rsid w:val="0009648D"/>
    <w:rsid w:val="000A2EC6"/>
    <w:rsid w:val="000A63F5"/>
    <w:rsid w:val="000B3904"/>
    <w:rsid w:val="000B3B80"/>
    <w:rsid w:val="000C070B"/>
    <w:rsid w:val="000C3B17"/>
    <w:rsid w:val="000C5306"/>
    <w:rsid w:val="000C5E62"/>
    <w:rsid w:val="000C7EA8"/>
    <w:rsid w:val="000D1742"/>
    <w:rsid w:val="000D28E8"/>
    <w:rsid w:val="000F772F"/>
    <w:rsid w:val="00123364"/>
    <w:rsid w:val="00124556"/>
    <w:rsid w:val="00126D88"/>
    <w:rsid w:val="00131BEF"/>
    <w:rsid w:val="00143685"/>
    <w:rsid w:val="001448F5"/>
    <w:rsid w:val="001511FB"/>
    <w:rsid w:val="00156A92"/>
    <w:rsid w:val="001626B4"/>
    <w:rsid w:val="0016377D"/>
    <w:rsid w:val="00187BC2"/>
    <w:rsid w:val="001B36C8"/>
    <w:rsid w:val="001D0512"/>
    <w:rsid w:val="001D6F09"/>
    <w:rsid w:val="001F1BD6"/>
    <w:rsid w:val="00201AD5"/>
    <w:rsid w:val="002049D9"/>
    <w:rsid w:val="00206828"/>
    <w:rsid w:val="002336EF"/>
    <w:rsid w:val="002431B3"/>
    <w:rsid w:val="00243D48"/>
    <w:rsid w:val="002A281E"/>
    <w:rsid w:val="002B2CC4"/>
    <w:rsid w:val="002B39A0"/>
    <w:rsid w:val="002B7201"/>
    <w:rsid w:val="002D2A8D"/>
    <w:rsid w:val="002D3325"/>
    <w:rsid w:val="002D52AE"/>
    <w:rsid w:val="002E5670"/>
    <w:rsid w:val="002F00AC"/>
    <w:rsid w:val="00301255"/>
    <w:rsid w:val="00305EAC"/>
    <w:rsid w:val="00321853"/>
    <w:rsid w:val="00335128"/>
    <w:rsid w:val="003356E9"/>
    <w:rsid w:val="00337834"/>
    <w:rsid w:val="003430CB"/>
    <w:rsid w:val="00344EB1"/>
    <w:rsid w:val="0034787F"/>
    <w:rsid w:val="00353508"/>
    <w:rsid w:val="00354572"/>
    <w:rsid w:val="00377CE6"/>
    <w:rsid w:val="003810BF"/>
    <w:rsid w:val="00381E3F"/>
    <w:rsid w:val="00391E0D"/>
    <w:rsid w:val="003927B7"/>
    <w:rsid w:val="00395AAB"/>
    <w:rsid w:val="00396F80"/>
    <w:rsid w:val="003A312C"/>
    <w:rsid w:val="003A5964"/>
    <w:rsid w:val="003B7323"/>
    <w:rsid w:val="003C2EF3"/>
    <w:rsid w:val="003C7367"/>
    <w:rsid w:val="003D4276"/>
    <w:rsid w:val="003D4277"/>
    <w:rsid w:val="003D477D"/>
    <w:rsid w:val="004062FF"/>
    <w:rsid w:val="004105F0"/>
    <w:rsid w:val="0041443A"/>
    <w:rsid w:val="004157B8"/>
    <w:rsid w:val="00434365"/>
    <w:rsid w:val="00441745"/>
    <w:rsid w:val="00444639"/>
    <w:rsid w:val="0045079C"/>
    <w:rsid w:val="00462643"/>
    <w:rsid w:val="00464863"/>
    <w:rsid w:val="004651D2"/>
    <w:rsid w:val="00467747"/>
    <w:rsid w:val="00471743"/>
    <w:rsid w:val="004760EA"/>
    <w:rsid w:val="004909A1"/>
    <w:rsid w:val="00497F7C"/>
    <w:rsid w:val="004B6A59"/>
    <w:rsid w:val="004B6C72"/>
    <w:rsid w:val="004E743D"/>
    <w:rsid w:val="004F304F"/>
    <w:rsid w:val="004F3464"/>
    <w:rsid w:val="004F4275"/>
    <w:rsid w:val="004F5FE0"/>
    <w:rsid w:val="004F6BF0"/>
    <w:rsid w:val="004F737A"/>
    <w:rsid w:val="00506861"/>
    <w:rsid w:val="0051102C"/>
    <w:rsid w:val="00511C3A"/>
    <w:rsid w:val="00515DBD"/>
    <w:rsid w:val="005208C0"/>
    <w:rsid w:val="0052180F"/>
    <w:rsid w:val="00523629"/>
    <w:rsid w:val="005344C6"/>
    <w:rsid w:val="005409F1"/>
    <w:rsid w:val="005426D7"/>
    <w:rsid w:val="005865FE"/>
    <w:rsid w:val="00591A47"/>
    <w:rsid w:val="005926B0"/>
    <w:rsid w:val="0059273F"/>
    <w:rsid w:val="005942B0"/>
    <w:rsid w:val="005B19D4"/>
    <w:rsid w:val="005C6DF3"/>
    <w:rsid w:val="005D4836"/>
    <w:rsid w:val="005E1132"/>
    <w:rsid w:val="005F0A18"/>
    <w:rsid w:val="005F5745"/>
    <w:rsid w:val="005F7563"/>
    <w:rsid w:val="0060247F"/>
    <w:rsid w:val="006029CD"/>
    <w:rsid w:val="00605B0D"/>
    <w:rsid w:val="00610F15"/>
    <w:rsid w:val="00623295"/>
    <w:rsid w:val="006241BB"/>
    <w:rsid w:val="0063470A"/>
    <w:rsid w:val="00635243"/>
    <w:rsid w:val="006518F2"/>
    <w:rsid w:val="00651FE3"/>
    <w:rsid w:val="00655C6B"/>
    <w:rsid w:val="00655FE4"/>
    <w:rsid w:val="006570A2"/>
    <w:rsid w:val="0065717A"/>
    <w:rsid w:val="0065740B"/>
    <w:rsid w:val="00666960"/>
    <w:rsid w:val="00667730"/>
    <w:rsid w:val="0068058E"/>
    <w:rsid w:val="00686BF0"/>
    <w:rsid w:val="006919A4"/>
    <w:rsid w:val="006A0882"/>
    <w:rsid w:val="006A1286"/>
    <w:rsid w:val="006A4FB2"/>
    <w:rsid w:val="006B2D2C"/>
    <w:rsid w:val="006C252D"/>
    <w:rsid w:val="006C338A"/>
    <w:rsid w:val="006C4D21"/>
    <w:rsid w:val="006C592C"/>
    <w:rsid w:val="006F3C06"/>
    <w:rsid w:val="006F72AF"/>
    <w:rsid w:val="006F767F"/>
    <w:rsid w:val="007054FB"/>
    <w:rsid w:val="00733A5A"/>
    <w:rsid w:val="00743833"/>
    <w:rsid w:val="00744FD3"/>
    <w:rsid w:val="00752A0D"/>
    <w:rsid w:val="0076226F"/>
    <w:rsid w:val="007767CC"/>
    <w:rsid w:val="00783346"/>
    <w:rsid w:val="007A0BAB"/>
    <w:rsid w:val="007B3CED"/>
    <w:rsid w:val="007C3E30"/>
    <w:rsid w:val="007F7C6A"/>
    <w:rsid w:val="00804F97"/>
    <w:rsid w:val="008051D6"/>
    <w:rsid w:val="00807109"/>
    <w:rsid w:val="008215F9"/>
    <w:rsid w:val="00830123"/>
    <w:rsid w:val="00876902"/>
    <w:rsid w:val="008820A1"/>
    <w:rsid w:val="00892E52"/>
    <w:rsid w:val="00896BC9"/>
    <w:rsid w:val="00897536"/>
    <w:rsid w:val="008A7546"/>
    <w:rsid w:val="008B40ED"/>
    <w:rsid w:val="008C3F87"/>
    <w:rsid w:val="008D418E"/>
    <w:rsid w:val="008E1DAC"/>
    <w:rsid w:val="008E5FAE"/>
    <w:rsid w:val="008F59C3"/>
    <w:rsid w:val="00902019"/>
    <w:rsid w:val="009035E4"/>
    <w:rsid w:val="009041F1"/>
    <w:rsid w:val="00904E48"/>
    <w:rsid w:val="0090752D"/>
    <w:rsid w:val="00911ABD"/>
    <w:rsid w:val="009135D8"/>
    <w:rsid w:val="00913A28"/>
    <w:rsid w:val="00921B74"/>
    <w:rsid w:val="00932A3E"/>
    <w:rsid w:val="00934771"/>
    <w:rsid w:val="00943925"/>
    <w:rsid w:val="00953520"/>
    <w:rsid w:val="00967698"/>
    <w:rsid w:val="0097276C"/>
    <w:rsid w:val="00975F40"/>
    <w:rsid w:val="00983401"/>
    <w:rsid w:val="00985248"/>
    <w:rsid w:val="00993A93"/>
    <w:rsid w:val="009A13A5"/>
    <w:rsid w:val="009B08F4"/>
    <w:rsid w:val="009B3BC6"/>
    <w:rsid w:val="009B7BD4"/>
    <w:rsid w:val="009C5250"/>
    <w:rsid w:val="009C52A9"/>
    <w:rsid w:val="009D129B"/>
    <w:rsid w:val="009E7F2E"/>
    <w:rsid w:val="009F1478"/>
    <w:rsid w:val="009F2E3F"/>
    <w:rsid w:val="009F7CBD"/>
    <w:rsid w:val="00A13A19"/>
    <w:rsid w:val="00A3565C"/>
    <w:rsid w:val="00A36CF0"/>
    <w:rsid w:val="00A86C02"/>
    <w:rsid w:val="00A9138A"/>
    <w:rsid w:val="00AA16C6"/>
    <w:rsid w:val="00AA1E02"/>
    <w:rsid w:val="00AB6FDF"/>
    <w:rsid w:val="00AC14F8"/>
    <w:rsid w:val="00AC1EB0"/>
    <w:rsid w:val="00AC4DC4"/>
    <w:rsid w:val="00AD2844"/>
    <w:rsid w:val="00AD42FA"/>
    <w:rsid w:val="00AE0278"/>
    <w:rsid w:val="00AE6604"/>
    <w:rsid w:val="00AF0C09"/>
    <w:rsid w:val="00AF149C"/>
    <w:rsid w:val="00B1763E"/>
    <w:rsid w:val="00B343E7"/>
    <w:rsid w:val="00B35D9F"/>
    <w:rsid w:val="00B36ABF"/>
    <w:rsid w:val="00B61F2D"/>
    <w:rsid w:val="00B66BB2"/>
    <w:rsid w:val="00B67A5E"/>
    <w:rsid w:val="00B93D99"/>
    <w:rsid w:val="00BA59AF"/>
    <w:rsid w:val="00BD13E7"/>
    <w:rsid w:val="00BD26C4"/>
    <w:rsid w:val="00BD678A"/>
    <w:rsid w:val="00BE486E"/>
    <w:rsid w:val="00BE579E"/>
    <w:rsid w:val="00C029FE"/>
    <w:rsid w:val="00C07A62"/>
    <w:rsid w:val="00C13F6E"/>
    <w:rsid w:val="00C237D3"/>
    <w:rsid w:val="00C45CEF"/>
    <w:rsid w:val="00C46C94"/>
    <w:rsid w:val="00C5072A"/>
    <w:rsid w:val="00C67D73"/>
    <w:rsid w:val="00C93D9A"/>
    <w:rsid w:val="00CB196C"/>
    <w:rsid w:val="00CB213A"/>
    <w:rsid w:val="00CD6017"/>
    <w:rsid w:val="00CF004A"/>
    <w:rsid w:val="00CF11DF"/>
    <w:rsid w:val="00CF143B"/>
    <w:rsid w:val="00CF1D60"/>
    <w:rsid w:val="00CF6D4B"/>
    <w:rsid w:val="00D118F4"/>
    <w:rsid w:val="00D1442D"/>
    <w:rsid w:val="00D37602"/>
    <w:rsid w:val="00D50FB9"/>
    <w:rsid w:val="00D52CE8"/>
    <w:rsid w:val="00D53D4E"/>
    <w:rsid w:val="00D558D0"/>
    <w:rsid w:val="00D5629A"/>
    <w:rsid w:val="00D719BF"/>
    <w:rsid w:val="00D77252"/>
    <w:rsid w:val="00D954B0"/>
    <w:rsid w:val="00DA0CD9"/>
    <w:rsid w:val="00DC6359"/>
    <w:rsid w:val="00DE2877"/>
    <w:rsid w:val="00DF177F"/>
    <w:rsid w:val="00E0050A"/>
    <w:rsid w:val="00E053DA"/>
    <w:rsid w:val="00E154E5"/>
    <w:rsid w:val="00E15675"/>
    <w:rsid w:val="00E159FF"/>
    <w:rsid w:val="00E31F25"/>
    <w:rsid w:val="00E44BD3"/>
    <w:rsid w:val="00E50FFE"/>
    <w:rsid w:val="00E55619"/>
    <w:rsid w:val="00E65842"/>
    <w:rsid w:val="00E74A56"/>
    <w:rsid w:val="00E80FBA"/>
    <w:rsid w:val="00EA1728"/>
    <w:rsid w:val="00EA1AAC"/>
    <w:rsid w:val="00EA5A6E"/>
    <w:rsid w:val="00EB3210"/>
    <w:rsid w:val="00EB3A2B"/>
    <w:rsid w:val="00ED3B31"/>
    <w:rsid w:val="00ED44AE"/>
    <w:rsid w:val="00EE57A4"/>
    <w:rsid w:val="00EF17F7"/>
    <w:rsid w:val="00F2686A"/>
    <w:rsid w:val="00F27B0E"/>
    <w:rsid w:val="00F44E77"/>
    <w:rsid w:val="00F500C9"/>
    <w:rsid w:val="00F50A28"/>
    <w:rsid w:val="00F66F49"/>
    <w:rsid w:val="00F70C74"/>
    <w:rsid w:val="00F733DE"/>
    <w:rsid w:val="00F74121"/>
    <w:rsid w:val="00F86F8F"/>
    <w:rsid w:val="00F909CE"/>
    <w:rsid w:val="00FA5B28"/>
    <w:rsid w:val="00FB77FB"/>
    <w:rsid w:val="00FD3458"/>
    <w:rsid w:val="00FF0D7E"/>
    <w:rsid w:val="0802CD72"/>
    <w:rsid w:val="0828D1C8"/>
    <w:rsid w:val="0E25D33E"/>
    <w:rsid w:val="102E6E0C"/>
    <w:rsid w:val="19476C2D"/>
    <w:rsid w:val="299C6B45"/>
    <w:rsid w:val="32088474"/>
    <w:rsid w:val="378BF08B"/>
    <w:rsid w:val="3BF76916"/>
    <w:rsid w:val="3C2E2D6D"/>
    <w:rsid w:val="4C5DD10E"/>
    <w:rsid w:val="7CD8B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2C2BDF"/>
  <w14:defaultImageDpi w14:val="96"/>
  <w15:docId w15:val="{D47BB9CE-A3DA-488C-95C4-0140E22F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61"/>
    <w:pPr>
      <w:spacing w:after="160" w:line="259" w:lineRule="auto"/>
    </w:pPr>
    <w:rPr>
      <w:rFonts w:ascii="Times New Roman" w:hAnsi="Times New Roman"/>
      <w:sz w:val="22"/>
      <w:szCs w:val="22"/>
    </w:rPr>
  </w:style>
  <w:style w:type="paragraph" w:styleId="Heading1">
    <w:name w:val="heading 1"/>
    <w:basedOn w:val="Normal"/>
    <w:next w:val="Normal"/>
    <w:link w:val="Heading1Char"/>
    <w:uiPriority w:val="9"/>
    <w:qFormat/>
    <w:rsid w:val="00934771"/>
    <w:pPr>
      <w:keepNext/>
      <w:widowControl w:val="0"/>
      <w:tabs>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after="0" w:line="240" w:lineRule="auto"/>
      <w:ind w:left="1296" w:right="-288" w:hanging="1440"/>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34771"/>
    <w:rPr>
      <w:rFonts w:ascii="Times New Roman" w:hAnsi="Times New Roman" w:cs="Times New Roman"/>
      <w:b/>
      <w:sz w:val="20"/>
      <w:szCs w:val="20"/>
    </w:rPr>
  </w:style>
  <w:style w:type="character" w:styleId="Hyperlink">
    <w:name w:val="Hyperlink"/>
    <w:uiPriority w:val="99"/>
    <w:rsid w:val="00934771"/>
    <w:rPr>
      <w:rFonts w:cs="Times New Roman"/>
      <w:color w:val="0000FF"/>
      <w:u w:val="single"/>
    </w:rPr>
  </w:style>
  <w:style w:type="paragraph" w:styleId="Header">
    <w:name w:val="header"/>
    <w:basedOn w:val="Normal"/>
    <w:link w:val="HeaderChar"/>
    <w:uiPriority w:val="99"/>
    <w:rsid w:val="00934771"/>
    <w:pPr>
      <w:widowControl w:val="0"/>
      <w:tabs>
        <w:tab w:val="center" w:pos="4320"/>
        <w:tab w:val="right" w:pos="8640"/>
      </w:tabs>
      <w:spacing w:after="0" w:line="240" w:lineRule="auto"/>
      <w:ind w:left="-144" w:right="-288"/>
    </w:pPr>
    <w:rPr>
      <w:sz w:val="24"/>
      <w:szCs w:val="20"/>
    </w:rPr>
  </w:style>
  <w:style w:type="character" w:customStyle="1" w:styleId="HeaderChar">
    <w:name w:val="Header Char"/>
    <w:link w:val="Header"/>
    <w:uiPriority w:val="99"/>
    <w:locked/>
    <w:rsid w:val="00934771"/>
    <w:rPr>
      <w:rFonts w:ascii="Times New Roman" w:hAnsi="Times New Roman" w:cs="Times New Roman"/>
      <w:sz w:val="20"/>
      <w:szCs w:val="20"/>
    </w:rPr>
  </w:style>
  <w:style w:type="paragraph" w:styleId="BodyText2">
    <w:name w:val="Body Text 2"/>
    <w:basedOn w:val="Normal"/>
    <w:link w:val="BodyText2Char"/>
    <w:uiPriority w:val="99"/>
    <w:rsid w:val="00934771"/>
    <w:pPr>
      <w:tabs>
        <w:tab w:val="left" w:pos="0"/>
        <w:tab w:val="left" w:pos="720"/>
        <w:tab w:val="left" w:pos="1440"/>
        <w:tab w:val="left" w:pos="2170"/>
        <w:tab w:val="left" w:pos="9360"/>
      </w:tabs>
      <w:spacing w:after="0" w:line="256" w:lineRule="exact"/>
      <w:ind w:left="-144" w:right="-288"/>
      <w:jc w:val="both"/>
    </w:pPr>
    <w:rPr>
      <w:color w:val="008000"/>
      <w:szCs w:val="20"/>
    </w:rPr>
  </w:style>
  <w:style w:type="character" w:customStyle="1" w:styleId="BodyText2Char">
    <w:name w:val="Body Text 2 Char"/>
    <w:link w:val="BodyText2"/>
    <w:uiPriority w:val="99"/>
    <w:locked/>
    <w:rsid w:val="00934771"/>
    <w:rPr>
      <w:rFonts w:ascii="Times New Roman" w:hAnsi="Times New Roman" w:cs="Times New Roman"/>
      <w:color w:val="008000"/>
      <w:sz w:val="20"/>
      <w:szCs w:val="20"/>
    </w:rPr>
  </w:style>
  <w:style w:type="paragraph" w:styleId="TOC1">
    <w:name w:val="toc 1"/>
    <w:basedOn w:val="Normal"/>
    <w:next w:val="Normal"/>
    <w:autoRedefine/>
    <w:uiPriority w:val="39"/>
    <w:unhideWhenUsed/>
    <w:rsid w:val="00D5629A"/>
    <w:pPr>
      <w:widowControl w:val="0"/>
      <w:tabs>
        <w:tab w:val="left" w:pos="880"/>
        <w:tab w:val="right" w:pos="9782"/>
      </w:tabs>
      <w:spacing w:after="0" w:line="240" w:lineRule="auto"/>
      <w:ind w:left="-144" w:right="-288"/>
    </w:pPr>
    <w:rPr>
      <w:sz w:val="24"/>
      <w:szCs w:val="20"/>
    </w:rPr>
  </w:style>
  <w:style w:type="paragraph" w:styleId="FootnoteText">
    <w:name w:val="footnote text"/>
    <w:basedOn w:val="Normal"/>
    <w:link w:val="FootnoteTextChar"/>
    <w:uiPriority w:val="99"/>
    <w:semiHidden/>
    <w:unhideWhenUsed/>
    <w:rsid w:val="00934771"/>
    <w:pPr>
      <w:spacing w:after="0" w:line="240" w:lineRule="auto"/>
    </w:pPr>
    <w:rPr>
      <w:sz w:val="20"/>
      <w:szCs w:val="20"/>
    </w:rPr>
  </w:style>
  <w:style w:type="character" w:customStyle="1" w:styleId="FootnoteTextChar">
    <w:name w:val="Footnote Text Char"/>
    <w:link w:val="FootnoteText"/>
    <w:uiPriority w:val="99"/>
    <w:semiHidden/>
    <w:locked/>
    <w:rsid w:val="00934771"/>
    <w:rPr>
      <w:rFonts w:ascii="Times New Roman" w:hAnsi="Times New Roman" w:cs="Times New Roman"/>
      <w:sz w:val="20"/>
      <w:szCs w:val="20"/>
    </w:rPr>
  </w:style>
  <w:style w:type="paragraph" w:styleId="Footer">
    <w:name w:val="footer"/>
    <w:basedOn w:val="Normal"/>
    <w:link w:val="FooterChar"/>
    <w:uiPriority w:val="99"/>
    <w:unhideWhenUsed/>
    <w:rsid w:val="00934771"/>
    <w:pPr>
      <w:tabs>
        <w:tab w:val="center" w:pos="4680"/>
        <w:tab w:val="right" w:pos="9360"/>
      </w:tabs>
    </w:pPr>
  </w:style>
  <w:style w:type="character" w:customStyle="1" w:styleId="FooterChar">
    <w:name w:val="Footer Char"/>
    <w:link w:val="Footer"/>
    <w:uiPriority w:val="99"/>
    <w:locked/>
    <w:rsid w:val="00934771"/>
    <w:rPr>
      <w:rFonts w:cs="Times New Roman"/>
    </w:rPr>
  </w:style>
  <w:style w:type="character" w:styleId="CommentReference">
    <w:name w:val="annotation reference"/>
    <w:uiPriority w:val="99"/>
    <w:semiHidden/>
    <w:unhideWhenUsed/>
    <w:rsid w:val="00934771"/>
    <w:rPr>
      <w:rFonts w:cs="Times New Roman"/>
      <w:sz w:val="16"/>
    </w:rPr>
  </w:style>
  <w:style w:type="paragraph" w:styleId="BalloonText">
    <w:name w:val="Balloon Text"/>
    <w:basedOn w:val="Normal"/>
    <w:link w:val="BalloonTextChar"/>
    <w:uiPriority w:val="99"/>
    <w:semiHidden/>
    <w:unhideWhenUsed/>
    <w:rsid w:val="0093477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34771"/>
    <w:rPr>
      <w:rFonts w:ascii="Segoe UI" w:hAnsi="Segoe UI" w:cs="Segoe UI"/>
      <w:sz w:val="18"/>
      <w:szCs w:val="18"/>
    </w:rPr>
  </w:style>
  <w:style w:type="paragraph" w:styleId="ListParagraph">
    <w:name w:val="List Paragraph"/>
    <w:basedOn w:val="Normal"/>
    <w:uiPriority w:val="34"/>
    <w:qFormat/>
    <w:rsid w:val="00934771"/>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34787F"/>
    <w:rPr>
      <w:sz w:val="20"/>
      <w:szCs w:val="20"/>
    </w:rPr>
  </w:style>
  <w:style w:type="character" w:customStyle="1" w:styleId="CommentTextChar">
    <w:name w:val="Comment Text Char"/>
    <w:link w:val="CommentText"/>
    <w:uiPriority w:val="99"/>
    <w:locked/>
    <w:rsid w:val="0034787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787F"/>
    <w:rPr>
      <w:b/>
      <w:bCs/>
    </w:rPr>
  </w:style>
  <w:style w:type="character" w:customStyle="1" w:styleId="CommentSubjectChar">
    <w:name w:val="Comment Subject Char"/>
    <w:link w:val="CommentSubject"/>
    <w:uiPriority w:val="99"/>
    <w:semiHidden/>
    <w:locked/>
    <w:rsid w:val="0034787F"/>
    <w:rPr>
      <w:rFonts w:ascii="Times New Roman" w:hAnsi="Times New Roman" w:cs="Times New Roman"/>
      <w:b/>
      <w:bCs/>
      <w:sz w:val="20"/>
      <w:szCs w:val="20"/>
    </w:rPr>
  </w:style>
  <w:style w:type="paragraph" w:styleId="Revision">
    <w:name w:val="Revision"/>
    <w:hidden/>
    <w:uiPriority w:val="99"/>
    <w:semiHidden/>
    <w:rsid w:val="0034787F"/>
    <w:rPr>
      <w:rFonts w:ascii="Times New Roman" w:hAnsi="Times New Roman"/>
      <w:sz w:val="22"/>
      <w:szCs w:val="22"/>
    </w:rPr>
  </w:style>
  <w:style w:type="character" w:styleId="UnresolvedMention">
    <w:name w:val="Unresolved Mention"/>
    <w:uiPriority w:val="99"/>
    <w:semiHidden/>
    <w:unhideWhenUsed/>
    <w:rsid w:val="00305EAC"/>
    <w:rPr>
      <w:rFonts w:cs="Times New Roman"/>
      <w:color w:val="605E5C"/>
      <w:shd w:val="clear" w:color="auto" w:fill="E1DFDD"/>
    </w:rPr>
  </w:style>
  <w:style w:type="character" w:styleId="FollowedHyperlink">
    <w:name w:val="FollowedHyperlink"/>
    <w:uiPriority w:val="99"/>
    <w:semiHidden/>
    <w:unhideWhenUsed/>
    <w:rsid w:val="00A13A19"/>
    <w:rPr>
      <w:color w:val="954F72"/>
      <w:u w:val="single"/>
    </w:rPr>
  </w:style>
  <w:style w:type="paragraph" w:customStyle="1" w:styleId="DocID">
    <w:name w:val="DocID"/>
    <w:basedOn w:val="Normal"/>
    <w:next w:val="Footer"/>
    <w:link w:val="DocIDChar"/>
    <w:rsid w:val="004909A1"/>
    <w:pPr>
      <w:spacing w:after="0" w:line="240" w:lineRule="auto"/>
    </w:pPr>
    <w:rPr>
      <w:color w:val="000000"/>
      <w:sz w:val="16"/>
      <w:szCs w:val="28"/>
    </w:rPr>
  </w:style>
  <w:style w:type="character" w:customStyle="1" w:styleId="DocIDChar">
    <w:name w:val="DocID Char"/>
    <w:basedOn w:val="DefaultParagraphFont"/>
    <w:link w:val="DocID"/>
    <w:rsid w:val="004909A1"/>
    <w:rPr>
      <w:rFonts w:ascii="Times New Roman" w:hAnsi="Times New Roman"/>
      <w:color w:val="000000"/>
      <w:sz w:val="16"/>
      <w:szCs w:val="28"/>
    </w:rPr>
  </w:style>
  <w:style w:type="character" w:styleId="Mention">
    <w:name w:val="Mention"/>
    <w:basedOn w:val="DefaultParagraphFont"/>
    <w:uiPriority w:val="99"/>
    <w:unhideWhenUsed/>
    <w:rsid w:val="00AA1E02"/>
    <w:rPr>
      <w:color w:val="2B579A"/>
      <w:shd w:val="clear" w:color="auto" w:fill="E1DFDD"/>
    </w:rPr>
  </w:style>
  <w:style w:type="paragraph" w:customStyle="1" w:styleId="Default">
    <w:name w:val="Default"/>
    <w:rsid w:val="0033512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D5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a0472682a17e8c485b94d3ef4ead560b">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ef221d3e557715ae6cc52cc932536135"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76029-D5C8-47BB-9D18-89312D6E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18459-BEE8-4055-8E98-7DAB854E0EDC}">
  <ds:schemaRefs>
    <ds:schemaRef ds:uri="http://schemas.openxmlformats.org/officeDocument/2006/bibliography"/>
  </ds:schemaRefs>
</ds:datastoreItem>
</file>

<file path=customXml/itemProps3.xml><?xml version="1.0" encoding="utf-8"?>
<ds:datastoreItem xmlns:ds="http://schemas.openxmlformats.org/officeDocument/2006/customXml" ds:itemID="{5B076853-0F70-4E1B-8000-B2113589932A}">
  <ds:schemaRefs>
    <ds:schemaRef ds:uri="http://schemas.microsoft.com/sharepoint/v3/contenttype/forms"/>
  </ds:schemaRefs>
</ds:datastoreItem>
</file>

<file path=customXml/itemProps4.xml><?xml version="1.0" encoding="utf-8"?>
<ds:datastoreItem xmlns:ds="http://schemas.openxmlformats.org/officeDocument/2006/customXml" ds:itemID="{3B8C2454-B3F4-4A7E-86FB-81CDDEF9AAB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185a935-ba3f-496a-b001-2f31da7152f8"/>
    <ds:schemaRef ds:uri="6967e8fb-135a-4813-91f6-dfd143e5f1f5"/>
    <ds:schemaRef ds:uri="http://schemas.openxmlformats.org/package/2006/metadata/core-properties"/>
    <ds:schemaRef ds:uri="http://purl.org/dc/terms/"/>
    <ds:schemaRef ds:uri="fa5a287d-e8d7-4515-878e-e2d26d40b308"/>
    <ds:schemaRef ds:uri="1a00750f-d101-47d7-b42c-3755e39e89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2874</Characters>
  <Application>Microsoft Office Word</Application>
  <DocSecurity>2</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Sigmon,  Cole</dc:creator>
  <cp:keywords/>
  <dc:description/>
  <cp:lastModifiedBy>Nicli, Layra</cp:lastModifiedBy>
  <cp:revision>3</cp:revision>
  <dcterms:created xsi:type="dcterms:W3CDTF">2025-07-31T17:24:00Z</dcterms:created>
  <dcterms:modified xsi:type="dcterms:W3CDTF">2025-07-31T17:24:00Z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ContentTypeId">
    <vt:lpwstr>0x0101003F0314EDECDC3E408AA8DC6E865F38F6</vt:lpwstr>
  </property>
  <property fmtid="{D5CDD505-2E9C-101B-9397-08002B2CF9AE}" pid="8" name="DocIDContent">
    <vt:lpwstr>1|.|2|</vt:lpwstr>
  </property>
  <property fmtid="{D5CDD505-2E9C-101B-9397-08002B2CF9AE}" pid="9" name="DocID">
    <vt:lpwstr>55352221.1</vt:lpwstr>
  </property>
  <property fmtid="{D5CDD505-2E9C-101B-9397-08002B2CF9AE}" pid="10" name="MediaServiceImageTags">
    <vt:lpwstr/>
  </property>
  <property fmtid="{D5CDD505-2E9C-101B-9397-08002B2CF9AE}" pid="11" name="GrammarlyDocumentId">
    <vt:lpwstr>d1f77936-1d6a-4dfb-804a-0fc7f74115c0</vt:lpwstr>
  </property>
</Properties>
</file>