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C4374" w14:textId="4019A00B" w:rsidR="007F1C38" w:rsidRPr="00735B33" w:rsidRDefault="00647B8F" w:rsidP="00647B8F">
      <w:pPr>
        <w:rPr>
          <w:rStyle w:val="TitleChar"/>
          <w:b/>
          <w:color w:val="006666" w:themeColor="accent1"/>
          <w:sz w:val="40"/>
          <w:szCs w:val="40"/>
        </w:rPr>
      </w:pPr>
      <w:r w:rsidRPr="00735B33">
        <w:rPr>
          <w:rStyle w:val="TitleChar"/>
          <w:b/>
          <w:color w:val="006666" w:themeColor="accent1"/>
        </w:rPr>
        <w:t>How-</w:t>
      </w:r>
      <w:r w:rsidR="00D93A89" w:rsidRPr="00735B33">
        <w:rPr>
          <w:rStyle w:val="TitleChar"/>
          <w:b/>
          <w:color w:val="006666" w:themeColor="accent1"/>
        </w:rPr>
        <w:t>to</w:t>
      </w:r>
      <w:r w:rsidRPr="00735B33">
        <w:rPr>
          <w:rStyle w:val="TitleChar"/>
          <w:b/>
          <w:color w:val="006666" w:themeColor="accent1"/>
        </w:rPr>
        <w:t xml:space="preserve"> </w:t>
      </w:r>
      <w:r w:rsidR="00D93A89" w:rsidRPr="00735B33">
        <w:rPr>
          <w:rStyle w:val="TitleChar"/>
          <w:b/>
          <w:color w:val="006666" w:themeColor="accent1"/>
        </w:rPr>
        <w:t xml:space="preserve">Guide for Boulder’s </w:t>
      </w:r>
      <w:r w:rsidR="00D43EC0" w:rsidRPr="00735B33">
        <w:rPr>
          <w:rStyle w:val="TitleChar"/>
          <w:b/>
          <w:color w:val="006666" w:themeColor="accent1"/>
        </w:rPr>
        <w:t>Building Performance Ordinance</w:t>
      </w:r>
      <w:r w:rsidR="00521CA3" w:rsidRPr="00735B33">
        <w:rPr>
          <w:rStyle w:val="TitleChar"/>
          <w:b/>
          <w:color w:val="006666" w:themeColor="accent1"/>
        </w:rPr>
        <w:t xml:space="preserve"> </w:t>
      </w:r>
      <w:r w:rsidR="00320518" w:rsidRPr="00735B33">
        <w:rPr>
          <w:rStyle w:val="TitleChar"/>
          <w:b/>
          <w:color w:val="006666" w:themeColor="accent1"/>
        </w:rPr>
        <w:t>Efficiency</w:t>
      </w:r>
      <w:r w:rsidR="00521CA3" w:rsidRPr="00735B33">
        <w:rPr>
          <w:rStyle w:val="TitleChar"/>
          <w:b/>
          <w:color w:val="006666" w:themeColor="accent1"/>
        </w:rPr>
        <w:t xml:space="preserve"> Requirement</w:t>
      </w:r>
      <w:r w:rsidR="00E9748B" w:rsidRPr="00735B33">
        <w:rPr>
          <w:rStyle w:val="TitleChar"/>
          <w:b/>
          <w:color w:val="006666" w:themeColor="accent1"/>
        </w:rPr>
        <w:t>s</w:t>
      </w:r>
      <w:r w:rsidR="003C6EC5" w:rsidRPr="00735B33">
        <w:rPr>
          <w:rStyle w:val="TitleChar"/>
          <w:b/>
          <w:color w:val="006666" w:themeColor="accent1"/>
        </w:rPr>
        <w:t xml:space="preserve"> </w:t>
      </w:r>
    </w:p>
    <w:p w14:paraId="51548AD0" w14:textId="034EEEE8" w:rsidR="000C38C4" w:rsidRPr="006063EA" w:rsidRDefault="00407241" w:rsidP="00647B8F">
      <w:pPr>
        <w:rPr>
          <w:rStyle w:val="SubtitleChar"/>
          <w:color w:val="004C4C" w:themeColor="accent3" w:themeShade="BF"/>
        </w:rPr>
      </w:pPr>
      <w:r>
        <w:rPr>
          <w:b/>
          <w:sz w:val="28"/>
          <w:szCs w:val="28"/>
        </w:rPr>
        <w:br/>
      </w:r>
      <w:r w:rsidR="000C38C4" w:rsidRPr="006063EA">
        <w:rPr>
          <w:rStyle w:val="SubtitleChar"/>
          <w:b/>
          <w:color w:val="004C4C" w:themeColor="accent3" w:themeShade="BF"/>
        </w:rPr>
        <w:t>Step-by-</w:t>
      </w:r>
      <w:r w:rsidR="00136667" w:rsidRPr="006063EA">
        <w:rPr>
          <w:rStyle w:val="SubtitleChar"/>
          <w:b/>
          <w:color w:val="004C4C" w:themeColor="accent3" w:themeShade="BF"/>
        </w:rPr>
        <w:t>s</w:t>
      </w:r>
      <w:r w:rsidR="000C38C4" w:rsidRPr="006063EA">
        <w:rPr>
          <w:rStyle w:val="SubtitleChar"/>
          <w:b/>
          <w:color w:val="004C4C" w:themeColor="accent3" w:themeShade="BF"/>
        </w:rPr>
        <w:t xml:space="preserve">tep </w:t>
      </w:r>
      <w:r w:rsidR="006063EA">
        <w:rPr>
          <w:rStyle w:val="SubtitleChar"/>
          <w:b/>
          <w:color w:val="004C4C" w:themeColor="accent3" w:themeShade="BF"/>
        </w:rPr>
        <w:t>guidance</w:t>
      </w:r>
      <w:r w:rsidR="000C38C4" w:rsidRPr="006063EA">
        <w:rPr>
          <w:rStyle w:val="SubtitleChar"/>
          <w:b/>
          <w:color w:val="004C4C" w:themeColor="accent3" w:themeShade="BF"/>
        </w:rPr>
        <w:t xml:space="preserve"> for </w:t>
      </w:r>
      <w:r w:rsidR="00D43EC0" w:rsidRPr="006063EA">
        <w:rPr>
          <w:rStyle w:val="SubtitleChar"/>
          <w:b/>
          <w:color w:val="004C4C" w:themeColor="accent3" w:themeShade="BF"/>
        </w:rPr>
        <w:t>commercial and industrial building owners</w:t>
      </w:r>
      <w:r w:rsidR="00647B8F" w:rsidRPr="006063EA">
        <w:rPr>
          <w:rStyle w:val="SubtitleChar"/>
          <w:b/>
          <w:color w:val="004C4C" w:themeColor="accent3" w:themeShade="BF"/>
        </w:rPr>
        <w:t xml:space="preserve"> to </w:t>
      </w:r>
      <w:r w:rsidR="00001260" w:rsidRPr="006063EA">
        <w:rPr>
          <w:rStyle w:val="SubtitleChar"/>
          <w:b/>
          <w:color w:val="004C4C" w:themeColor="accent3" w:themeShade="BF"/>
        </w:rPr>
        <w:t xml:space="preserve">conduct an </w:t>
      </w:r>
      <w:r w:rsidR="00AD4086" w:rsidRPr="006063EA">
        <w:rPr>
          <w:rStyle w:val="SubtitleChar"/>
          <w:b/>
          <w:color w:val="004C4C" w:themeColor="accent3" w:themeShade="BF"/>
        </w:rPr>
        <w:t>e</w:t>
      </w:r>
      <w:r w:rsidR="00001260" w:rsidRPr="006063EA">
        <w:rPr>
          <w:rStyle w:val="SubtitleChar"/>
          <w:b/>
          <w:color w:val="004C4C" w:themeColor="accent3" w:themeShade="BF"/>
        </w:rPr>
        <w:t xml:space="preserve">nergy </w:t>
      </w:r>
      <w:r w:rsidR="00AD4086" w:rsidRPr="006063EA">
        <w:rPr>
          <w:rStyle w:val="SubtitleChar"/>
          <w:b/>
          <w:color w:val="004C4C" w:themeColor="accent3" w:themeShade="BF"/>
        </w:rPr>
        <w:t>a</w:t>
      </w:r>
      <w:r w:rsidR="00001260" w:rsidRPr="006063EA">
        <w:rPr>
          <w:rStyle w:val="SubtitleChar"/>
          <w:b/>
          <w:color w:val="004C4C" w:themeColor="accent3" w:themeShade="BF"/>
        </w:rPr>
        <w:t xml:space="preserve">ssessment, </w:t>
      </w:r>
      <w:r w:rsidR="00F97070" w:rsidRPr="006063EA">
        <w:rPr>
          <w:rStyle w:val="SubtitleChar"/>
          <w:b/>
          <w:color w:val="004C4C" w:themeColor="accent3" w:themeShade="BF"/>
        </w:rPr>
        <w:t>perform</w:t>
      </w:r>
      <w:r w:rsidR="00E9748B" w:rsidRPr="006063EA">
        <w:rPr>
          <w:rStyle w:val="SubtitleChar"/>
          <w:b/>
          <w:color w:val="004C4C" w:themeColor="accent3" w:themeShade="BF"/>
        </w:rPr>
        <w:t xml:space="preserve"> retro-commissioning</w:t>
      </w:r>
      <w:r w:rsidR="00F13C7C">
        <w:rPr>
          <w:rStyle w:val="SubtitleChar"/>
          <w:b/>
          <w:color w:val="004C4C" w:themeColor="accent3" w:themeShade="BF"/>
        </w:rPr>
        <w:t xml:space="preserve"> and</w:t>
      </w:r>
      <w:r w:rsidR="00E9748B" w:rsidRPr="006063EA">
        <w:rPr>
          <w:rStyle w:val="SubtitleChar"/>
          <w:b/>
          <w:color w:val="004C4C" w:themeColor="accent3" w:themeShade="BF"/>
        </w:rPr>
        <w:t xml:space="preserve"> </w:t>
      </w:r>
      <w:r w:rsidR="00F13C7C">
        <w:rPr>
          <w:rStyle w:val="SubtitleChar"/>
          <w:b/>
          <w:color w:val="004C4C" w:themeColor="accent3" w:themeShade="BF"/>
        </w:rPr>
        <w:t>upgrade lighting to comply with ordinance requirements</w:t>
      </w:r>
      <w:r w:rsidR="00DB494E" w:rsidRPr="006063EA">
        <w:rPr>
          <w:rStyle w:val="SubtitleChar"/>
          <w:b/>
          <w:color w:val="004C4C" w:themeColor="accent3" w:themeShade="BF"/>
        </w:rPr>
        <w:t>.</w:t>
      </w:r>
    </w:p>
    <w:p w14:paraId="335E26F4" w14:textId="77777777" w:rsidR="002F1D2E" w:rsidRPr="006063EA" w:rsidRDefault="002F1D2E" w:rsidP="004D2E64">
      <w:pPr>
        <w:tabs>
          <w:tab w:val="left" w:pos="7200"/>
        </w:tabs>
        <w:rPr>
          <w:i/>
          <w:color w:val="004C4C" w:themeColor="accent3" w:themeShade="BF"/>
          <w:sz w:val="24"/>
          <w:szCs w:val="24"/>
        </w:rPr>
      </w:pPr>
    </w:p>
    <w:p w14:paraId="3E092CDE" w14:textId="3C202AAC" w:rsidR="00647B8F" w:rsidRDefault="00972001" w:rsidP="004D2E64">
      <w:pPr>
        <w:tabs>
          <w:tab w:val="left" w:pos="7200"/>
        </w:tabs>
        <w:rPr>
          <w:i/>
          <w:sz w:val="24"/>
          <w:szCs w:val="24"/>
        </w:rPr>
      </w:pPr>
      <w:r>
        <w:rPr>
          <w:i/>
          <w:sz w:val="24"/>
          <w:szCs w:val="24"/>
        </w:rPr>
        <w:t>April 2022</w:t>
      </w:r>
      <w:r w:rsidR="004D2E64">
        <w:rPr>
          <w:i/>
          <w:sz w:val="24"/>
          <w:szCs w:val="24"/>
        </w:rPr>
        <w:tab/>
      </w:r>
    </w:p>
    <w:sdt>
      <w:sdtPr>
        <w:rPr>
          <w:rFonts w:asciiTheme="minorHAnsi" w:eastAsiaTheme="minorEastAsia" w:hAnsiTheme="minorHAnsi" w:cstheme="minorBidi"/>
          <w:color w:val="auto"/>
          <w:sz w:val="22"/>
          <w:szCs w:val="22"/>
        </w:rPr>
        <w:id w:val="962457811"/>
        <w:docPartObj>
          <w:docPartGallery w:val="Table of Contents"/>
          <w:docPartUnique/>
        </w:docPartObj>
      </w:sdtPr>
      <w:sdtContent>
        <w:p w14:paraId="010B0C68" w14:textId="77777777" w:rsidR="000A5596" w:rsidRPr="00567424" w:rsidRDefault="000A5596">
          <w:pPr>
            <w:pStyle w:val="TOCHeading"/>
            <w:rPr>
              <w:rFonts w:asciiTheme="minorHAnsi" w:eastAsiaTheme="minorHAnsi" w:hAnsiTheme="minorHAnsi" w:cstheme="minorBidi"/>
              <w:b/>
              <w:color w:val="auto"/>
              <w:sz w:val="22"/>
              <w:szCs w:val="22"/>
            </w:rPr>
          </w:pPr>
          <w:r w:rsidRPr="00567424">
            <w:rPr>
              <w:rFonts w:asciiTheme="minorHAnsi" w:eastAsiaTheme="minorHAnsi" w:hAnsiTheme="minorHAnsi" w:cstheme="minorBidi"/>
              <w:b/>
              <w:color w:val="auto"/>
              <w:sz w:val="22"/>
              <w:szCs w:val="22"/>
            </w:rPr>
            <w:t>Contents</w:t>
          </w:r>
        </w:p>
        <w:p w14:paraId="25668111" w14:textId="6037BAF2" w:rsidR="00B444FF" w:rsidRDefault="002116FC">
          <w:pPr>
            <w:pStyle w:val="TOC1"/>
            <w:tabs>
              <w:tab w:val="left" w:pos="440"/>
              <w:tab w:val="right" w:leader="dot" w:pos="9350"/>
            </w:tabs>
            <w:rPr>
              <w:rFonts w:eastAsiaTheme="minorEastAsia"/>
              <w:noProof/>
            </w:rPr>
          </w:pPr>
          <w:r>
            <w:fldChar w:fldCharType="begin"/>
          </w:r>
          <w:r>
            <w:instrText xml:space="preserve"> TOC \o "1-2" \h \z \u </w:instrText>
          </w:r>
          <w:r>
            <w:fldChar w:fldCharType="separate"/>
          </w:r>
          <w:hyperlink w:anchor="_Toc530563753" w:history="1">
            <w:r w:rsidR="00B444FF" w:rsidRPr="003271B6">
              <w:rPr>
                <w:rStyle w:val="Hyperlink"/>
                <w:b/>
                <w:noProof/>
              </w:rPr>
              <w:t>1.</w:t>
            </w:r>
            <w:r w:rsidR="00B444FF">
              <w:rPr>
                <w:rFonts w:eastAsiaTheme="minorEastAsia"/>
                <w:noProof/>
              </w:rPr>
              <w:tab/>
            </w:r>
            <w:r w:rsidR="00B444FF" w:rsidRPr="003271B6">
              <w:rPr>
                <w:rStyle w:val="Hyperlink"/>
                <w:b/>
                <w:noProof/>
              </w:rPr>
              <w:t>Building Performance Ordinance</w:t>
            </w:r>
            <w:r w:rsidR="00B444FF">
              <w:rPr>
                <w:noProof/>
                <w:webHidden/>
              </w:rPr>
              <w:tab/>
            </w:r>
            <w:r w:rsidR="00B444FF">
              <w:rPr>
                <w:noProof/>
                <w:webHidden/>
              </w:rPr>
              <w:fldChar w:fldCharType="begin"/>
            </w:r>
            <w:r w:rsidR="00B444FF">
              <w:rPr>
                <w:noProof/>
                <w:webHidden/>
              </w:rPr>
              <w:instrText xml:space="preserve"> PAGEREF _Toc530563753 \h </w:instrText>
            </w:r>
            <w:r w:rsidR="00B444FF">
              <w:rPr>
                <w:noProof/>
                <w:webHidden/>
              </w:rPr>
            </w:r>
            <w:r w:rsidR="00B444FF">
              <w:rPr>
                <w:noProof/>
                <w:webHidden/>
              </w:rPr>
              <w:fldChar w:fldCharType="separate"/>
            </w:r>
            <w:r w:rsidR="00324ADD">
              <w:rPr>
                <w:noProof/>
                <w:webHidden/>
              </w:rPr>
              <w:t>2</w:t>
            </w:r>
            <w:r w:rsidR="00B444FF">
              <w:rPr>
                <w:noProof/>
                <w:webHidden/>
              </w:rPr>
              <w:fldChar w:fldCharType="end"/>
            </w:r>
          </w:hyperlink>
        </w:p>
        <w:p w14:paraId="68724137" w14:textId="3CCE1DD8" w:rsidR="00B444FF" w:rsidRDefault="00B444FF">
          <w:pPr>
            <w:pStyle w:val="TOC2"/>
            <w:tabs>
              <w:tab w:val="left" w:pos="880"/>
              <w:tab w:val="right" w:leader="dot" w:pos="9350"/>
            </w:tabs>
            <w:rPr>
              <w:rFonts w:eastAsiaTheme="minorEastAsia"/>
              <w:noProof/>
            </w:rPr>
          </w:pPr>
          <w:hyperlink w:anchor="_Toc530563754" w:history="1">
            <w:r w:rsidRPr="003271B6">
              <w:rPr>
                <w:rStyle w:val="Hyperlink"/>
                <w:noProof/>
              </w:rPr>
              <w:t>1.1</w:t>
            </w:r>
            <w:r>
              <w:rPr>
                <w:rFonts w:eastAsiaTheme="minorEastAsia"/>
                <w:noProof/>
              </w:rPr>
              <w:tab/>
            </w:r>
            <w:r w:rsidRPr="003271B6">
              <w:rPr>
                <w:rStyle w:val="Hyperlink"/>
                <w:noProof/>
              </w:rPr>
              <w:t>Is My Building Affected?</w:t>
            </w:r>
            <w:r>
              <w:rPr>
                <w:noProof/>
                <w:webHidden/>
              </w:rPr>
              <w:tab/>
            </w:r>
            <w:r>
              <w:rPr>
                <w:noProof/>
                <w:webHidden/>
              </w:rPr>
              <w:fldChar w:fldCharType="begin"/>
            </w:r>
            <w:r>
              <w:rPr>
                <w:noProof/>
                <w:webHidden/>
              </w:rPr>
              <w:instrText xml:space="preserve"> PAGEREF _Toc530563754 \h </w:instrText>
            </w:r>
            <w:r>
              <w:rPr>
                <w:noProof/>
                <w:webHidden/>
              </w:rPr>
            </w:r>
            <w:r>
              <w:rPr>
                <w:noProof/>
                <w:webHidden/>
              </w:rPr>
              <w:fldChar w:fldCharType="separate"/>
            </w:r>
            <w:r w:rsidR="00324ADD">
              <w:rPr>
                <w:noProof/>
                <w:webHidden/>
              </w:rPr>
              <w:t>2</w:t>
            </w:r>
            <w:r>
              <w:rPr>
                <w:noProof/>
                <w:webHidden/>
              </w:rPr>
              <w:fldChar w:fldCharType="end"/>
            </w:r>
          </w:hyperlink>
        </w:p>
        <w:p w14:paraId="023CC53C" w14:textId="3E24D916" w:rsidR="00B444FF" w:rsidRDefault="00B444FF">
          <w:pPr>
            <w:pStyle w:val="TOC2"/>
            <w:tabs>
              <w:tab w:val="left" w:pos="880"/>
              <w:tab w:val="right" w:leader="dot" w:pos="9350"/>
            </w:tabs>
            <w:rPr>
              <w:rFonts w:eastAsiaTheme="minorEastAsia"/>
              <w:noProof/>
            </w:rPr>
          </w:pPr>
          <w:hyperlink w:anchor="_Toc530563755" w:history="1">
            <w:r w:rsidRPr="003271B6">
              <w:rPr>
                <w:rStyle w:val="Hyperlink"/>
                <w:noProof/>
              </w:rPr>
              <w:t>1.2</w:t>
            </w:r>
            <w:r>
              <w:rPr>
                <w:rFonts w:eastAsiaTheme="minorEastAsia"/>
                <w:noProof/>
              </w:rPr>
              <w:tab/>
            </w:r>
            <w:r w:rsidRPr="003271B6">
              <w:rPr>
                <w:rStyle w:val="Hyperlink"/>
                <w:noProof/>
              </w:rPr>
              <w:t>Compliance Deadlines</w:t>
            </w:r>
            <w:r>
              <w:rPr>
                <w:noProof/>
                <w:webHidden/>
              </w:rPr>
              <w:tab/>
            </w:r>
            <w:r>
              <w:rPr>
                <w:noProof/>
                <w:webHidden/>
              </w:rPr>
              <w:fldChar w:fldCharType="begin"/>
            </w:r>
            <w:r>
              <w:rPr>
                <w:noProof/>
                <w:webHidden/>
              </w:rPr>
              <w:instrText xml:space="preserve"> PAGEREF _Toc530563755 \h </w:instrText>
            </w:r>
            <w:r>
              <w:rPr>
                <w:noProof/>
                <w:webHidden/>
              </w:rPr>
            </w:r>
            <w:r>
              <w:rPr>
                <w:noProof/>
                <w:webHidden/>
              </w:rPr>
              <w:fldChar w:fldCharType="separate"/>
            </w:r>
            <w:r w:rsidR="00324ADD">
              <w:rPr>
                <w:noProof/>
                <w:webHidden/>
              </w:rPr>
              <w:t>2</w:t>
            </w:r>
            <w:r>
              <w:rPr>
                <w:noProof/>
                <w:webHidden/>
              </w:rPr>
              <w:fldChar w:fldCharType="end"/>
            </w:r>
          </w:hyperlink>
        </w:p>
        <w:p w14:paraId="706731A3" w14:textId="3A6C7D68" w:rsidR="00B444FF" w:rsidRDefault="00B444FF">
          <w:pPr>
            <w:pStyle w:val="TOC1"/>
            <w:tabs>
              <w:tab w:val="left" w:pos="440"/>
              <w:tab w:val="right" w:leader="dot" w:pos="9350"/>
            </w:tabs>
            <w:rPr>
              <w:rFonts w:eastAsiaTheme="minorEastAsia"/>
              <w:noProof/>
            </w:rPr>
          </w:pPr>
          <w:hyperlink w:anchor="_Toc530563756" w:history="1">
            <w:r w:rsidRPr="003271B6">
              <w:rPr>
                <w:rStyle w:val="Hyperlink"/>
                <w:b/>
                <w:noProof/>
              </w:rPr>
              <w:t>2.</w:t>
            </w:r>
            <w:r>
              <w:rPr>
                <w:rFonts w:eastAsiaTheme="minorEastAsia"/>
                <w:noProof/>
              </w:rPr>
              <w:tab/>
            </w:r>
            <w:r w:rsidRPr="003271B6">
              <w:rPr>
                <w:rStyle w:val="Hyperlink"/>
                <w:b/>
                <w:noProof/>
              </w:rPr>
              <w:t>Energy Assessments and Retrocommissioning</w:t>
            </w:r>
            <w:r>
              <w:rPr>
                <w:noProof/>
                <w:webHidden/>
              </w:rPr>
              <w:tab/>
            </w:r>
            <w:r>
              <w:rPr>
                <w:noProof/>
                <w:webHidden/>
              </w:rPr>
              <w:fldChar w:fldCharType="begin"/>
            </w:r>
            <w:r>
              <w:rPr>
                <w:noProof/>
                <w:webHidden/>
              </w:rPr>
              <w:instrText xml:space="preserve"> PAGEREF _Toc530563756 \h </w:instrText>
            </w:r>
            <w:r>
              <w:rPr>
                <w:noProof/>
                <w:webHidden/>
              </w:rPr>
            </w:r>
            <w:r>
              <w:rPr>
                <w:noProof/>
                <w:webHidden/>
              </w:rPr>
              <w:fldChar w:fldCharType="separate"/>
            </w:r>
            <w:r w:rsidR="00324ADD">
              <w:rPr>
                <w:noProof/>
                <w:webHidden/>
              </w:rPr>
              <w:t>4</w:t>
            </w:r>
            <w:r>
              <w:rPr>
                <w:noProof/>
                <w:webHidden/>
              </w:rPr>
              <w:fldChar w:fldCharType="end"/>
            </w:r>
          </w:hyperlink>
        </w:p>
        <w:p w14:paraId="41E825D0" w14:textId="66E8C340" w:rsidR="00B444FF" w:rsidRDefault="00B444FF">
          <w:pPr>
            <w:pStyle w:val="TOC2"/>
            <w:tabs>
              <w:tab w:val="left" w:pos="880"/>
              <w:tab w:val="right" w:leader="dot" w:pos="9350"/>
            </w:tabs>
            <w:rPr>
              <w:rFonts w:eastAsiaTheme="minorEastAsia"/>
              <w:noProof/>
            </w:rPr>
          </w:pPr>
          <w:hyperlink w:anchor="_Toc530563757" w:history="1">
            <w:r w:rsidRPr="003271B6">
              <w:rPr>
                <w:rStyle w:val="Hyperlink"/>
                <w:noProof/>
              </w:rPr>
              <w:t>2.1</w:t>
            </w:r>
            <w:r>
              <w:rPr>
                <w:rFonts w:eastAsiaTheme="minorEastAsia"/>
                <w:noProof/>
              </w:rPr>
              <w:tab/>
            </w:r>
            <w:r w:rsidRPr="003271B6">
              <w:rPr>
                <w:rStyle w:val="Hyperlink"/>
                <w:noProof/>
              </w:rPr>
              <w:t>Energy Assessment Scope and Report</w:t>
            </w:r>
            <w:r>
              <w:rPr>
                <w:noProof/>
                <w:webHidden/>
              </w:rPr>
              <w:tab/>
            </w:r>
            <w:r>
              <w:rPr>
                <w:noProof/>
                <w:webHidden/>
              </w:rPr>
              <w:fldChar w:fldCharType="begin"/>
            </w:r>
            <w:r>
              <w:rPr>
                <w:noProof/>
                <w:webHidden/>
              </w:rPr>
              <w:instrText xml:space="preserve"> PAGEREF _Toc530563757 \h </w:instrText>
            </w:r>
            <w:r>
              <w:rPr>
                <w:noProof/>
                <w:webHidden/>
              </w:rPr>
            </w:r>
            <w:r>
              <w:rPr>
                <w:noProof/>
                <w:webHidden/>
              </w:rPr>
              <w:fldChar w:fldCharType="separate"/>
            </w:r>
            <w:r w:rsidR="00324ADD">
              <w:rPr>
                <w:noProof/>
                <w:webHidden/>
              </w:rPr>
              <w:t>4</w:t>
            </w:r>
            <w:r>
              <w:rPr>
                <w:noProof/>
                <w:webHidden/>
              </w:rPr>
              <w:fldChar w:fldCharType="end"/>
            </w:r>
          </w:hyperlink>
        </w:p>
        <w:p w14:paraId="01FF8731" w14:textId="6D727573" w:rsidR="00B444FF" w:rsidRDefault="00B444FF">
          <w:pPr>
            <w:pStyle w:val="TOC2"/>
            <w:tabs>
              <w:tab w:val="left" w:pos="880"/>
              <w:tab w:val="right" w:leader="dot" w:pos="9350"/>
            </w:tabs>
            <w:rPr>
              <w:rFonts w:eastAsiaTheme="minorEastAsia"/>
              <w:noProof/>
            </w:rPr>
          </w:pPr>
          <w:hyperlink w:anchor="_Toc530563758" w:history="1">
            <w:r w:rsidRPr="003271B6">
              <w:rPr>
                <w:rStyle w:val="Hyperlink"/>
                <w:noProof/>
              </w:rPr>
              <w:t>2.2</w:t>
            </w:r>
            <w:r>
              <w:rPr>
                <w:rFonts w:eastAsiaTheme="minorEastAsia"/>
                <w:noProof/>
              </w:rPr>
              <w:tab/>
            </w:r>
            <w:r w:rsidRPr="003271B6">
              <w:rPr>
                <w:rStyle w:val="Hyperlink"/>
                <w:noProof/>
              </w:rPr>
              <w:t>Retrocommissioning (RCx) Scope and Report</w:t>
            </w:r>
            <w:r>
              <w:rPr>
                <w:noProof/>
                <w:webHidden/>
              </w:rPr>
              <w:tab/>
            </w:r>
            <w:r>
              <w:rPr>
                <w:noProof/>
                <w:webHidden/>
              </w:rPr>
              <w:fldChar w:fldCharType="begin"/>
            </w:r>
            <w:r>
              <w:rPr>
                <w:noProof/>
                <w:webHidden/>
              </w:rPr>
              <w:instrText xml:space="preserve"> PAGEREF _Toc530563758 \h </w:instrText>
            </w:r>
            <w:r>
              <w:rPr>
                <w:noProof/>
                <w:webHidden/>
              </w:rPr>
            </w:r>
            <w:r>
              <w:rPr>
                <w:noProof/>
                <w:webHidden/>
              </w:rPr>
              <w:fldChar w:fldCharType="separate"/>
            </w:r>
            <w:r w:rsidR="00324ADD">
              <w:rPr>
                <w:noProof/>
                <w:webHidden/>
              </w:rPr>
              <w:t>5</w:t>
            </w:r>
            <w:r>
              <w:rPr>
                <w:noProof/>
                <w:webHidden/>
              </w:rPr>
              <w:fldChar w:fldCharType="end"/>
            </w:r>
          </w:hyperlink>
        </w:p>
        <w:p w14:paraId="42F2021F" w14:textId="2A34D1B2" w:rsidR="00B444FF" w:rsidRDefault="00B444FF">
          <w:pPr>
            <w:pStyle w:val="TOC2"/>
            <w:tabs>
              <w:tab w:val="left" w:pos="880"/>
              <w:tab w:val="right" w:leader="dot" w:pos="9350"/>
            </w:tabs>
            <w:rPr>
              <w:rFonts w:eastAsiaTheme="minorEastAsia"/>
              <w:noProof/>
            </w:rPr>
          </w:pPr>
          <w:hyperlink w:anchor="_Toc530563759" w:history="1">
            <w:r w:rsidRPr="003271B6">
              <w:rPr>
                <w:rStyle w:val="Hyperlink"/>
                <w:noProof/>
              </w:rPr>
              <w:t>2.3</w:t>
            </w:r>
            <w:r>
              <w:rPr>
                <w:rFonts w:eastAsiaTheme="minorEastAsia"/>
                <w:noProof/>
              </w:rPr>
              <w:tab/>
            </w:r>
            <w:r w:rsidRPr="003271B6">
              <w:rPr>
                <w:rStyle w:val="Hyperlink"/>
                <w:noProof/>
              </w:rPr>
              <w:t>Costs and Cost Savings Opportunities</w:t>
            </w:r>
            <w:r>
              <w:rPr>
                <w:noProof/>
                <w:webHidden/>
              </w:rPr>
              <w:tab/>
            </w:r>
            <w:r>
              <w:rPr>
                <w:noProof/>
                <w:webHidden/>
              </w:rPr>
              <w:fldChar w:fldCharType="begin"/>
            </w:r>
            <w:r>
              <w:rPr>
                <w:noProof/>
                <w:webHidden/>
              </w:rPr>
              <w:instrText xml:space="preserve"> PAGEREF _Toc530563759 \h </w:instrText>
            </w:r>
            <w:r>
              <w:rPr>
                <w:noProof/>
                <w:webHidden/>
              </w:rPr>
            </w:r>
            <w:r>
              <w:rPr>
                <w:noProof/>
                <w:webHidden/>
              </w:rPr>
              <w:fldChar w:fldCharType="separate"/>
            </w:r>
            <w:r w:rsidR="00324ADD">
              <w:rPr>
                <w:noProof/>
                <w:webHidden/>
              </w:rPr>
              <w:t>6</w:t>
            </w:r>
            <w:r>
              <w:rPr>
                <w:noProof/>
                <w:webHidden/>
              </w:rPr>
              <w:fldChar w:fldCharType="end"/>
            </w:r>
          </w:hyperlink>
        </w:p>
        <w:p w14:paraId="59483641" w14:textId="61D54AB4" w:rsidR="00B444FF" w:rsidRDefault="00B444FF">
          <w:pPr>
            <w:pStyle w:val="TOC2"/>
            <w:tabs>
              <w:tab w:val="left" w:pos="880"/>
              <w:tab w:val="right" w:leader="dot" w:pos="9350"/>
            </w:tabs>
            <w:rPr>
              <w:rFonts w:eastAsiaTheme="minorEastAsia"/>
              <w:noProof/>
            </w:rPr>
          </w:pPr>
          <w:hyperlink w:anchor="_Toc530563760" w:history="1">
            <w:r w:rsidRPr="003271B6">
              <w:rPr>
                <w:rStyle w:val="Hyperlink"/>
                <w:noProof/>
              </w:rPr>
              <w:t>2.4</w:t>
            </w:r>
            <w:r>
              <w:rPr>
                <w:rFonts w:eastAsiaTheme="minorEastAsia"/>
                <w:noProof/>
              </w:rPr>
              <w:tab/>
            </w:r>
            <w:r w:rsidRPr="003271B6">
              <w:rPr>
                <w:rStyle w:val="Hyperlink"/>
                <w:noProof/>
              </w:rPr>
              <w:t>Selecting a Service Provider</w:t>
            </w:r>
            <w:r>
              <w:rPr>
                <w:noProof/>
                <w:webHidden/>
              </w:rPr>
              <w:tab/>
            </w:r>
            <w:r>
              <w:rPr>
                <w:noProof/>
                <w:webHidden/>
              </w:rPr>
              <w:fldChar w:fldCharType="begin"/>
            </w:r>
            <w:r>
              <w:rPr>
                <w:noProof/>
                <w:webHidden/>
              </w:rPr>
              <w:instrText xml:space="preserve"> PAGEREF _Toc530563760 \h </w:instrText>
            </w:r>
            <w:r>
              <w:rPr>
                <w:noProof/>
                <w:webHidden/>
              </w:rPr>
            </w:r>
            <w:r>
              <w:rPr>
                <w:noProof/>
                <w:webHidden/>
              </w:rPr>
              <w:fldChar w:fldCharType="separate"/>
            </w:r>
            <w:r w:rsidR="00324ADD">
              <w:rPr>
                <w:noProof/>
                <w:webHidden/>
              </w:rPr>
              <w:t>9</w:t>
            </w:r>
            <w:r>
              <w:rPr>
                <w:noProof/>
                <w:webHidden/>
              </w:rPr>
              <w:fldChar w:fldCharType="end"/>
            </w:r>
          </w:hyperlink>
        </w:p>
        <w:p w14:paraId="42564809" w14:textId="64901536" w:rsidR="00B444FF" w:rsidRDefault="00B444FF">
          <w:pPr>
            <w:pStyle w:val="TOC2"/>
            <w:tabs>
              <w:tab w:val="left" w:pos="880"/>
              <w:tab w:val="right" w:leader="dot" w:pos="9350"/>
            </w:tabs>
            <w:rPr>
              <w:rFonts w:eastAsiaTheme="minorEastAsia"/>
              <w:noProof/>
            </w:rPr>
          </w:pPr>
          <w:hyperlink w:anchor="_Toc530563761" w:history="1">
            <w:r w:rsidRPr="003271B6">
              <w:rPr>
                <w:rStyle w:val="Hyperlink"/>
                <w:noProof/>
              </w:rPr>
              <w:t>2.5</w:t>
            </w:r>
            <w:r>
              <w:rPr>
                <w:rFonts w:eastAsiaTheme="minorEastAsia"/>
                <w:noProof/>
              </w:rPr>
              <w:tab/>
            </w:r>
            <w:r w:rsidRPr="003271B6">
              <w:rPr>
                <w:rStyle w:val="Hyperlink"/>
                <w:noProof/>
              </w:rPr>
              <w:t>Preparing for and Managing the Process</w:t>
            </w:r>
            <w:r>
              <w:rPr>
                <w:noProof/>
                <w:webHidden/>
              </w:rPr>
              <w:tab/>
            </w:r>
            <w:r>
              <w:rPr>
                <w:noProof/>
                <w:webHidden/>
              </w:rPr>
              <w:fldChar w:fldCharType="begin"/>
            </w:r>
            <w:r>
              <w:rPr>
                <w:noProof/>
                <w:webHidden/>
              </w:rPr>
              <w:instrText xml:space="preserve"> PAGEREF _Toc530563761 \h </w:instrText>
            </w:r>
            <w:r>
              <w:rPr>
                <w:noProof/>
                <w:webHidden/>
              </w:rPr>
            </w:r>
            <w:r>
              <w:rPr>
                <w:noProof/>
                <w:webHidden/>
              </w:rPr>
              <w:fldChar w:fldCharType="separate"/>
            </w:r>
            <w:r w:rsidR="00324ADD">
              <w:rPr>
                <w:noProof/>
                <w:webHidden/>
              </w:rPr>
              <w:t>10</w:t>
            </w:r>
            <w:r>
              <w:rPr>
                <w:noProof/>
                <w:webHidden/>
              </w:rPr>
              <w:fldChar w:fldCharType="end"/>
            </w:r>
          </w:hyperlink>
        </w:p>
        <w:p w14:paraId="031654BE" w14:textId="0D6F00B0" w:rsidR="00B444FF" w:rsidRDefault="00B444FF">
          <w:pPr>
            <w:pStyle w:val="TOC2"/>
            <w:tabs>
              <w:tab w:val="left" w:pos="880"/>
              <w:tab w:val="right" w:leader="dot" w:pos="9350"/>
            </w:tabs>
            <w:rPr>
              <w:rFonts w:eastAsiaTheme="minorEastAsia"/>
              <w:noProof/>
            </w:rPr>
          </w:pPr>
          <w:hyperlink w:anchor="_Toc530563762" w:history="1">
            <w:r w:rsidRPr="003271B6">
              <w:rPr>
                <w:rStyle w:val="Hyperlink"/>
                <w:noProof/>
              </w:rPr>
              <w:t>2.6</w:t>
            </w:r>
            <w:r>
              <w:rPr>
                <w:rFonts w:eastAsiaTheme="minorEastAsia"/>
                <w:noProof/>
              </w:rPr>
              <w:tab/>
            </w:r>
            <w:r w:rsidRPr="003271B6">
              <w:rPr>
                <w:rStyle w:val="Hyperlink"/>
                <w:noProof/>
              </w:rPr>
              <w:t>Reporting Findings to the City</w:t>
            </w:r>
            <w:r>
              <w:rPr>
                <w:noProof/>
                <w:webHidden/>
              </w:rPr>
              <w:tab/>
            </w:r>
            <w:r>
              <w:rPr>
                <w:noProof/>
                <w:webHidden/>
              </w:rPr>
              <w:fldChar w:fldCharType="begin"/>
            </w:r>
            <w:r>
              <w:rPr>
                <w:noProof/>
                <w:webHidden/>
              </w:rPr>
              <w:instrText xml:space="preserve"> PAGEREF _Toc530563762 \h </w:instrText>
            </w:r>
            <w:r>
              <w:rPr>
                <w:noProof/>
                <w:webHidden/>
              </w:rPr>
            </w:r>
            <w:r>
              <w:rPr>
                <w:noProof/>
                <w:webHidden/>
              </w:rPr>
              <w:fldChar w:fldCharType="separate"/>
            </w:r>
            <w:r w:rsidR="00324ADD">
              <w:rPr>
                <w:noProof/>
                <w:webHidden/>
              </w:rPr>
              <w:t>12</w:t>
            </w:r>
            <w:r>
              <w:rPr>
                <w:noProof/>
                <w:webHidden/>
              </w:rPr>
              <w:fldChar w:fldCharType="end"/>
            </w:r>
          </w:hyperlink>
        </w:p>
        <w:p w14:paraId="0ABDBDD7" w14:textId="44C8F55C" w:rsidR="00B444FF" w:rsidRDefault="00B444FF">
          <w:pPr>
            <w:pStyle w:val="TOC1"/>
            <w:tabs>
              <w:tab w:val="left" w:pos="440"/>
              <w:tab w:val="right" w:leader="dot" w:pos="9350"/>
            </w:tabs>
            <w:rPr>
              <w:rFonts w:eastAsiaTheme="minorEastAsia"/>
              <w:noProof/>
            </w:rPr>
          </w:pPr>
          <w:hyperlink w:anchor="_Toc530563763" w:history="1">
            <w:r w:rsidRPr="003271B6">
              <w:rPr>
                <w:rStyle w:val="Hyperlink"/>
                <w:b/>
                <w:noProof/>
              </w:rPr>
              <w:t>3.</w:t>
            </w:r>
            <w:r>
              <w:rPr>
                <w:rFonts w:eastAsiaTheme="minorEastAsia"/>
                <w:noProof/>
              </w:rPr>
              <w:tab/>
            </w:r>
            <w:r w:rsidRPr="003271B6">
              <w:rPr>
                <w:rStyle w:val="Hyperlink"/>
                <w:b/>
                <w:noProof/>
              </w:rPr>
              <w:t>Lighting Upgrades</w:t>
            </w:r>
            <w:r>
              <w:rPr>
                <w:noProof/>
                <w:webHidden/>
              </w:rPr>
              <w:tab/>
            </w:r>
            <w:r>
              <w:rPr>
                <w:noProof/>
                <w:webHidden/>
              </w:rPr>
              <w:fldChar w:fldCharType="begin"/>
            </w:r>
            <w:r>
              <w:rPr>
                <w:noProof/>
                <w:webHidden/>
              </w:rPr>
              <w:instrText xml:space="preserve"> PAGEREF _Toc530563763 \h </w:instrText>
            </w:r>
            <w:r>
              <w:rPr>
                <w:noProof/>
                <w:webHidden/>
              </w:rPr>
            </w:r>
            <w:r>
              <w:rPr>
                <w:noProof/>
                <w:webHidden/>
              </w:rPr>
              <w:fldChar w:fldCharType="separate"/>
            </w:r>
            <w:r w:rsidR="00324ADD">
              <w:rPr>
                <w:noProof/>
                <w:webHidden/>
              </w:rPr>
              <w:t>13</w:t>
            </w:r>
            <w:r>
              <w:rPr>
                <w:noProof/>
                <w:webHidden/>
              </w:rPr>
              <w:fldChar w:fldCharType="end"/>
            </w:r>
          </w:hyperlink>
        </w:p>
        <w:p w14:paraId="2C289928" w14:textId="128565AB" w:rsidR="00B444FF" w:rsidRDefault="00B444FF">
          <w:pPr>
            <w:pStyle w:val="TOC2"/>
            <w:tabs>
              <w:tab w:val="left" w:pos="880"/>
              <w:tab w:val="right" w:leader="dot" w:pos="9350"/>
            </w:tabs>
            <w:rPr>
              <w:rFonts w:eastAsiaTheme="minorEastAsia"/>
              <w:noProof/>
            </w:rPr>
          </w:pPr>
          <w:hyperlink w:anchor="_Toc530563764" w:history="1">
            <w:r w:rsidRPr="003271B6">
              <w:rPr>
                <w:rStyle w:val="Hyperlink"/>
                <w:noProof/>
              </w:rPr>
              <w:t>3.1</w:t>
            </w:r>
            <w:r>
              <w:rPr>
                <w:rFonts w:eastAsiaTheme="minorEastAsia"/>
                <w:noProof/>
              </w:rPr>
              <w:tab/>
            </w:r>
            <w:r w:rsidRPr="003271B6">
              <w:rPr>
                <w:rStyle w:val="Hyperlink"/>
                <w:noProof/>
              </w:rPr>
              <w:t>Summary of Requirements</w:t>
            </w:r>
            <w:r>
              <w:rPr>
                <w:noProof/>
                <w:webHidden/>
              </w:rPr>
              <w:tab/>
            </w:r>
            <w:r>
              <w:rPr>
                <w:noProof/>
                <w:webHidden/>
              </w:rPr>
              <w:fldChar w:fldCharType="begin"/>
            </w:r>
            <w:r>
              <w:rPr>
                <w:noProof/>
                <w:webHidden/>
              </w:rPr>
              <w:instrText xml:space="preserve"> PAGEREF _Toc530563764 \h </w:instrText>
            </w:r>
            <w:r>
              <w:rPr>
                <w:noProof/>
                <w:webHidden/>
              </w:rPr>
            </w:r>
            <w:r>
              <w:rPr>
                <w:noProof/>
                <w:webHidden/>
              </w:rPr>
              <w:fldChar w:fldCharType="separate"/>
            </w:r>
            <w:r w:rsidR="00324ADD">
              <w:rPr>
                <w:noProof/>
                <w:webHidden/>
              </w:rPr>
              <w:t>13</w:t>
            </w:r>
            <w:r>
              <w:rPr>
                <w:noProof/>
                <w:webHidden/>
              </w:rPr>
              <w:fldChar w:fldCharType="end"/>
            </w:r>
          </w:hyperlink>
        </w:p>
        <w:p w14:paraId="05C78E85" w14:textId="0BF998E0" w:rsidR="00B444FF" w:rsidRDefault="00B444FF" w:rsidP="00472F3B">
          <w:pPr>
            <w:pStyle w:val="TOC2"/>
            <w:tabs>
              <w:tab w:val="left" w:pos="880"/>
              <w:tab w:val="right" w:leader="dot" w:pos="9350"/>
            </w:tabs>
            <w:rPr>
              <w:rFonts w:eastAsiaTheme="minorEastAsia"/>
              <w:noProof/>
            </w:rPr>
          </w:pPr>
          <w:hyperlink w:anchor="_Toc530563765" w:history="1">
            <w:r w:rsidRPr="003271B6">
              <w:rPr>
                <w:rStyle w:val="Hyperlink"/>
                <w:noProof/>
              </w:rPr>
              <w:t>3.2</w:t>
            </w:r>
            <w:r>
              <w:rPr>
                <w:rFonts w:eastAsiaTheme="minorEastAsia"/>
                <w:noProof/>
              </w:rPr>
              <w:tab/>
            </w:r>
            <w:r w:rsidRPr="003271B6">
              <w:rPr>
                <w:rStyle w:val="Hyperlink"/>
                <w:noProof/>
              </w:rPr>
              <w:t>Preparing for and Managing the Lighting Upgrade</w:t>
            </w:r>
            <w:r>
              <w:rPr>
                <w:noProof/>
                <w:webHidden/>
              </w:rPr>
              <w:tab/>
            </w:r>
            <w:r>
              <w:rPr>
                <w:noProof/>
                <w:webHidden/>
              </w:rPr>
              <w:fldChar w:fldCharType="begin"/>
            </w:r>
            <w:r>
              <w:rPr>
                <w:noProof/>
                <w:webHidden/>
              </w:rPr>
              <w:instrText xml:space="preserve"> PAGEREF _Toc530563765 \h </w:instrText>
            </w:r>
            <w:r>
              <w:rPr>
                <w:noProof/>
                <w:webHidden/>
              </w:rPr>
            </w:r>
            <w:r>
              <w:rPr>
                <w:noProof/>
                <w:webHidden/>
              </w:rPr>
              <w:fldChar w:fldCharType="separate"/>
            </w:r>
            <w:r w:rsidR="00324ADD">
              <w:rPr>
                <w:noProof/>
                <w:webHidden/>
              </w:rPr>
              <w:t>14</w:t>
            </w:r>
            <w:r>
              <w:rPr>
                <w:noProof/>
                <w:webHidden/>
              </w:rPr>
              <w:fldChar w:fldCharType="end"/>
            </w:r>
          </w:hyperlink>
        </w:p>
        <w:p w14:paraId="53B3320F" w14:textId="6DB1C3F3" w:rsidR="00B444FF" w:rsidRDefault="00B444FF">
          <w:pPr>
            <w:pStyle w:val="TOC1"/>
            <w:tabs>
              <w:tab w:val="right" w:leader="dot" w:pos="9350"/>
            </w:tabs>
            <w:rPr>
              <w:rFonts w:eastAsiaTheme="minorEastAsia"/>
              <w:noProof/>
            </w:rPr>
          </w:pPr>
          <w:hyperlink w:anchor="_Toc530563767" w:history="1">
            <w:r w:rsidRPr="003271B6">
              <w:rPr>
                <w:rStyle w:val="Hyperlink"/>
                <w:b/>
                <w:noProof/>
              </w:rPr>
              <w:t>Appendix A: Required Retrocommissioning Scope</w:t>
            </w:r>
            <w:r>
              <w:rPr>
                <w:noProof/>
                <w:webHidden/>
              </w:rPr>
              <w:tab/>
            </w:r>
            <w:r>
              <w:rPr>
                <w:noProof/>
                <w:webHidden/>
              </w:rPr>
              <w:fldChar w:fldCharType="begin"/>
            </w:r>
            <w:r>
              <w:rPr>
                <w:noProof/>
                <w:webHidden/>
              </w:rPr>
              <w:instrText xml:space="preserve"> PAGEREF _Toc530563767 \h </w:instrText>
            </w:r>
            <w:r>
              <w:rPr>
                <w:noProof/>
                <w:webHidden/>
              </w:rPr>
            </w:r>
            <w:r>
              <w:rPr>
                <w:noProof/>
                <w:webHidden/>
              </w:rPr>
              <w:fldChar w:fldCharType="separate"/>
            </w:r>
            <w:r w:rsidR="00324ADD">
              <w:rPr>
                <w:noProof/>
                <w:webHidden/>
              </w:rPr>
              <w:t>15</w:t>
            </w:r>
            <w:r>
              <w:rPr>
                <w:noProof/>
                <w:webHidden/>
              </w:rPr>
              <w:fldChar w:fldCharType="end"/>
            </w:r>
          </w:hyperlink>
        </w:p>
        <w:p w14:paraId="1C945250" w14:textId="2BCDEF2E" w:rsidR="00B444FF" w:rsidRDefault="00B444FF">
          <w:pPr>
            <w:pStyle w:val="TOC1"/>
            <w:tabs>
              <w:tab w:val="right" w:leader="dot" w:pos="9350"/>
            </w:tabs>
            <w:rPr>
              <w:rFonts w:eastAsiaTheme="minorEastAsia"/>
              <w:noProof/>
            </w:rPr>
          </w:pPr>
          <w:hyperlink w:anchor="_Toc530563768" w:history="1">
            <w:r w:rsidRPr="003271B6">
              <w:rPr>
                <w:rStyle w:val="Hyperlink"/>
                <w:b/>
                <w:noProof/>
              </w:rPr>
              <w:t>Appendix B: RCx Report Sample Outline</w:t>
            </w:r>
            <w:r>
              <w:rPr>
                <w:noProof/>
                <w:webHidden/>
              </w:rPr>
              <w:tab/>
            </w:r>
            <w:r>
              <w:rPr>
                <w:noProof/>
                <w:webHidden/>
              </w:rPr>
              <w:fldChar w:fldCharType="begin"/>
            </w:r>
            <w:r>
              <w:rPr>
                <w:noProof/>
                <w:webHidden/>
              </w:rPr>
              <w:instrText xml:space="preserve"> PAGEREF _Toc530563768 \h </w:instrText>
            </w:r>
            <w:r>
              <w:rPr>
                <w:noProof/>
                <w:webHidden/>
              </w:rPr>
            </w:r>
            <w:r>
              <w:rPr>
                <w:noProof/>
                <w:webHidden/>
              </w:rPr>
              <w:fldChar w:fldCharType="separate"/>
            </w:r>
            <w:r w:rsidR="00324ADD">
              <w:rPr>
                <w:noProof/>
                <w:webHidden/>
              </w:rPr>
              <w:t>18</w:t>
            </w:r>
            <w:r>
              <w:rPr>
                <w:noProof/>
                <w:webHidden/>
              </w:rPr>
              <w:fldChar w:fldCharType="end"/>
            </w:r>
          </w:hyperlink>
        </w:p>
        <w:p w14:paraId="01269597" w14:textId="1A9DAE53" w:rsidR="00B444FF" w:rsidRDefault="00B444FF">
          <w:pPr>
            <w:pStyle w:val="TOC1"/>
            <w:tabs>
              <w:tab w:val="right" w:leader="dot" w:pos="9350"/>
            </w:tabs>
            <w:rPr>
              <w:rFonts w:eastAsiaTheme="minorEastAsia"/>
              <w:noProof/>
            </w:rPr>
          </w:pPr>
          <w:hyperlink w:anchor="_Toc530563769" w:history="1">
            <w:r w:rsidRPr="003271B6">
              <w:rPr>
                <w:rStyle w:val="Hyperlink"/>
                <w:b/>
                <w:noProof/>
              </w:rPr>
              <w:t>Appendix C: How to Maintain and Track Your Energy Savings</w:t>
            </w:r>
            <w:r>
              <w:rPr>
                <w:noProof/>
                <w:webHidden/>
              </w:rPr>
              <w:tab/>
            </w:r>
            <w:r>
              <w:rPr>
                <w:noProof/>
                <w:webHidden/>
              </w:rPr>
              <w:fldChar w:fldCharType="begin"/>
            </w:r>
            <w:r>
              <w:rPr>
                <w:noProof/>
                <w:webHidden/>
              </w:rPr>
              <w:instrText xml:space="preserve"> PAGEREF _Toc530563769 \h </w:instrText>
            </w:r>
            <w:r>
              <w:rPr>
                <w:noProof/>
                <w:webHidden/>
              </w:rPr>
            </w:r>
            <w:r>
              <w:rPr>
                <w:noProof/>
                <w:webHidden/>
              </w:rPr>
              <w:fldChar w:fldCharType="separate"/>
            </w:r>
            <w:r w:rsidR="00324ADD">
              <w:rPr>
                <w:noProof/>
                <w:webHidden/>
              </w:rPr>
              <w:t>19</w:t>
            </w:r>
            <w:r>
              <w:rPr>
                <w:noProof/>
                <w:webHidden/>
              </w:rPr>
              <w:fldChar w:fldCharType="end"/>
            </w:r>
          </w:hyperlink>
        </w:p>
        <w:p w14:paraId="4045831E" w14:textId="52E9C28F" w:rsidR="00B444FF" w:rsidRDefault="00B444FF">
          <w:pPr>
            <w:pStyle w:val="TOC1"/>
            <w:tabs>
              <w:tab w:val="right" w:leader="dot" w:pos="9350"/>
            </w:tabs>
            <w:rPr>
              <w:rFonts w:eastAsiaTheme="minorEastAsia"/>
              <w:noProof/>
            </w:rPr>
          </w:pPr>
          <w:hyperlink w:anchor="_Toc530563770" w:history="1">
            <w:r w:rsidRPr="003271B6">
              <w:rPr>
                <w:rStyle w:val="Hyperlink"/>
                <w:b/>
                <w:noProof/>
              </w:rPr>
              <w:t>Glossary</w:t>
            </w:r>
            <w:r>
              <w:rPr>
                <w:noProof/>
                <w:webHidden/>
              </w:rPr>
              <w:tab/>
            </w:r>
            <w:r>
              <w:rPr>
                <w:noProof/>
                <w:webHidden/>
              </w:rPr>
              <w:fldChar w:fldCharType="begin"/>
            </w:r>
            <w:r>
              <w:rPr>
                <w:noProof/>
                <w:webHidden/>
              </w:rPr>
              <w:instrText xml:space="preserve"> PAGEREF _Toc530563770 \h </w:instrText>
            </w:r>
            <w:r>
              <w:rPr>
                <w:noProof/>
                <w:webHidden/>
              </w:rPr>
            </w:r>
            <w:r>
              <w:rPr>
                <w:noProof/>
                <w:webHidden/>
              </w:rPr>
              <w:fldChar w:fldCharType="separate"/>
            </w:r>
            <w:r w:rsidR="00324ADD">
              <w:rPr>
                <w:noProof/>
                <w:webHidden/>
              </w:rPr>
              <w:t>21</w:t>
            </w:r>
            <w:r>
              <w:rPr>
                <w:noProof/>
                <w:webHidden/>
              </w:rPr>
              <w:fldChar w:fldCharType="end"/>
            </w:r>
          </w:hyperlink>
        </w:p>
        <w:p w14:paraId="7F0554AF" w14:textId="7BBD39FC" w:rsidR="000A5596" w:rsidRDefault="002116FC" w:rsidP="00EC6707">
          <w:pPr>
            <w:pStyle w:val="TOC1"/>
            <w:tabs>
              <w:tab w:val="right" w:leader="dot" w:pos="9350"/>
            </w:tabs>
            <w:rPr>
              <w:noProof/>
            </w:rPr>
          </w:pPr>
          <w:r>
            <w:fldChar w:fldCharType="end"/>
          </w:r>
        </w:p>
      </w:sdtContent>
    </w:sdt>
    <w:p w14:paraId="0A8EC9EB" w14:textId="77777777" w:rsidR="008B6F88" w:rsidRDefault="008B6F88">
      <w:pPr>
        <w:rPr>
          <w:rFonts w:asciiTheme="majorHAnsi" w:eastAsiaTheme="majorEastAsia" w:hAnsiTheme="majorHAnsi" w:cstheme="majorBidi"/>
          <w:b/>
          <w:color w:val="004C4C" w:themeColor="accent1" w:themeShade="BF"/>
          <w:sz w:val="32"/>
          <w:szCs w:val="32"/>
        </w:rPr>
      </w:pPr>
      <w:bookmarkStart w:id="0" w:name="_Toc445462092"/>
      <w:r>
        <w:rPr>
          <w:b/>
        </w:rPr>
        <w:br w:type="page"/>
      </w:r>
    </w:p>
    <w:p w14:paraId="22E4F817" w14:textId="65C610F7" w:rsidR="00C66D22" w:rsidRPr="002116FC" w:rsidRDefault="00487815" w:rsidP="00592052">
      <w:pPr>
        <w:pStyle w:val="Heading1"/>
        <w:numPr>
          <w:ilvl w:val="0"/>
          <w:numId w:val="50"/>
        </w:numPr>
        <w:rPr>
          <w:b/>
        </w:rPr>
      </w:pPr>
      <w:bookmarkStart w:id="1" w:name="_Toc530563753"/>
      <w:bookmarkEnd w:id="0"/>
      <w:r w:rsidRPr="002116FC">
        <w:rPr>
          <w:b/>
        </w:rPr>
        <w:lastRenderedPageBreak/>
        <w:t>Building Performance Ordinance</w:t>
      </w:r>
      <w:bookmarkEnd w:id="1"/>
    </w:p>
    <w:p w14:paraId="450E5B47" w14:textId="77777777" w:rsidR="00E9748B" w:rsidRDefault="00E9748B" w:rsidP="00E9748B">
      <w:r w:rsidRPr="0099624B">
        <w:t xml:space="preserve">In support of </w:t>
      </w:r>
      <w:r w:rsidRPr="00565CF5">
        <w:t xml:space="preserve">community energy and climate goals, the </w:t>
      </w:r>
      <w:r w:rsidR="00AC355F">
        <w:t>City</w:t>
      </w:r>
      <w:r w:rsidRPr="00565CF5">
        <w:t xml:space="preserve"> of Boulder enacted the Boulder Building Performance Ordinance </w:t>
      </w:r>
      <w:r>
        <w:t>(</w:t>
      </w:r>
      <w:r w:rsidRPr="007C5826">
        <w:t>Ordinance No. 8071)</w:t>
      </w:r>
      <w:r>
        <w:t xml:space="preserve"> </w:t>
      </w:r>
      <w:r w:rsidRPr="00565CF5">
        <w:t>on</w:t>
      </w:r>
      <w:r>
        <w:t xml:space="preserve"> </w:t>
      </w:r>
      <w:r w:rsidRPr="00925905">
        <w:t>October 20, 2015.</w:t>
      </w:r>
      <w:r w:rsidRPr="001D2E7B">
        <w:t xml:space="preserve"> </w:t>
      </w:r>
      <w:r w:rsidR="00CB5E61">
        <w:t>The</w:t>
      </w:r>
      <w:r w:rsidRPr="001D2E7B">
        <w:t xml:space="preserve"> </w:t>
      </w:r>
      <w:r>
        <w:t>ordinance</w:t>
      </w:r>
      <w:r w:rsidR="00CB5E61">
        <w:t xml:space="preserve"> requirements, found in the Boulder Revised Code Title 10, Chapter 7.7</w:t>
      </w:r>
      <w:r w:rsidR="00CB5E61">
        <w:rPr>
          <w:rStyle w:val="FootnoteReference"/>
        </w:rPr>
        <w:footnoteReference w:id="1"/>
      </w:r>
      <w:r w:rsidR="00CB5E61">
        <w:t>, mandate</w:t>
      </w:r>
      <w:r>
        <w:t xml:space="preserve"> privately-owned commercial and industrial buildings and </w:t>
      </w:r>
      <w:r w:rsidR="00F95C26">
        <w:t>c</w:t>
      </w:r>
      <w:r w:rsidR="00AC355F">
        <w:t>ity</w:t>
      </w:r>
      <w:r>
        <w:t>-owned buildings to do the following:</w:t>
      </w:r>
    </w:p>
    <w:p w14:paraId="52D0933A" w14:textId="77777777" w:rsidR="00E9748B" w:rsidRDefault="00E9748B" w:rsidP="006C70F7">
      <w:pPr>
        <w:pStyle w:val="ListParagraph"/>
        <w:numPr>
          <w:ilvl w:val="0"/>
          <w:numId w:val="33"/>
        </w:numPr>
      </w:pPr>
      <w:r>
        <w:t xml:space="preserve">Annually rate and report </w:t>
      </w:r>
      <w:r w:rsidR="00C37BAB">
        <w:t xml:space="preserve">(R&amp;R) </w:t>
      </w:r>
      <w:r>
        <w:t xml:space="preserve">building energy </w:t>
      </w:r>
      <w:r w:rsidR="00DA46A7">
        <w:t>consumption</w:t>
      </w:r>
      <w:r>
        <w:t xml:space="preserve"> using </w:t>
      </w:r>
      <w:r w:rsidR="00DA46A7">
        <w:t>ENERGY STAR Portfolio Manager (or approved alternative)</w:t>
      </w:r>
      <w:r>
        <w:t>;</w:t>
      </w:r>
    </w:p>
    <w:p w14:paraId="26ACE925" w14:textId="77777777" w:rsidR="00E9748B" w:rsidRDefault="00E9748B" w:rsidP="006C70F7">
      <w:pPr>
        <w:pStyle w:val="ListParagraph"/>
        <w:numPr>
          <w:ilvl w:val="0"/>
          <w:numId w:val="33"/>
        </w:numPr>
      </w:pPr>
      <w:r>
        <w:t xml:space="preserve">Perform energy assessments within three years of first </w:t>
      </w:r>
      <w:r w:rsidR="006F6796">
        <w:t xml:space="preserve">energy use </w:t>
      </w:r>
      <w:r>
        <w:t>report</w:t>
      </w:r>
      <w:r w:rsidR="00A34E32">
        <w:t>ing deadline</w:t>
      </w:r>
      <w:r>
        <w:t xml:space="preserve"> and every ten years thereafter;</w:t>
      </w:r>
    </w:p>
    <w:p w14:paraId="5278F872" w14:textId="77777777" w:rsidR="00E9748B" w:rsidRDefault="00E9748B" w:rsidP="006C70F7">
      <w:pPr>
        <w:pStyle w:val="ListParagraph"/>
        <w:numPr>
          <w:ilvl w:val="0"/>
          <w:numId w:val="33"/>
        </w:numPr>
      </w:pPr>
      <w:r>
        <w:t xml:space="preserve">Perform </w:t>
      </w:r>
      <w:proofErr w:type="spellStart"/>
      <w:r>
        <w:t>retrocommissioning</w:t>
      </w:r>
      <w:proofErr w:type="spellEnd"/>
      <w:r>
        <w:t xml:space="preserve"> (RCx) within three years of first report</w:t>
      </w:r>
      <w:r w:rsidR="00A34E32">
        <w:t>ing deadline</w:t>
      </w:r>
      <w:r>
        <w:t xml:space="preserve"> and every ten years thereafter with cost effective RCx measures implemented within two years of the study; and</w:t>
      </w:r>
    </w:p>
    <w:p w14:paraId="05E01C9D" w14:textId="77777777" w:rsidR="00E9748B" w:rsidRDefault="00E9748B" w:rsidP="006C70F7">
      <w:pPr>
        <w:pStyle w:val="ListParagraph"/>
        <w:numPr>
          <w:ilvl w:val="0"/>
          <w:numId w:val="33"/>
        </w:numPr>
      </w:pPr>
      <w:r>
        <w:t>Implement one-time lighting upgrades</w:t>
      </w:r>
      <w:r w:rsidR="005C400E">
        <w:t xml:space="preserve"> to meet </w:t>
      </w:r>
      <w:r w:rsidR="00DA46A7">
        <w:t xml:space="preserve">specific sections of the </w:t>
      </w:r>
      <w:r w:rsidR="005C400E">
        <w:t xml:space="preserve">current International Energy Conservation Code </w:t>
      </w:r>
      <w:r w:rsidR="00B95E77">
        <w:t xml:space="preserve">(IECC) </w:t>
      </w:r>
      <w:r w:rsidR="005C400E">
        <w:t>requirements</w:t>
      </w:r>
      <w:r>
        <w:t>.</w:t>
      </w:r>
    </w:p>
    <w:p w14:paraId="01B6556E" w14:textId="77777777" w:rsidR="0048746F" w:rsidRDefault="00E9748B" w:rsidP="00E9748B">
      <w:r>
        <w:t xml:space="preserve">This </w:t>
      </w:r>
      <w:r w:rsidR="00417961">
        <w:t>document</w:t>
      </w:r>
      <w:r>
        <w:t xml:space="preserve"> provides </w:t>
      </w:r>
      <w:r w:rsidR="00A34E32">
        <w:t xml:space="preserve">guidance and </w:t>
      </w:r>
      <w:r>
        <w:t>recommendations on how building owners can comply with</w:t>
      </w:r>
      <w:r w:rsidR="00417961">
        <w:t xml:space="preserve"> </w:t>
      </w:r>
      <w:r w:rsidR="00A34E32">
        <w:t>the efficiency requirements (</w:t>
      </w:r>
      <w:r>
        <w:t>energy assessment</w:t>
      </w:r>
      <w:r w:rsidR="00A34E32">
        <w:t>s</w:t>
      </w:r>
      <w:r w:rsidR="009171B6">
        <w:t>, RCx and lighting upgrade</w:t>
      </w:r>
      <w:r w:rsidR="00A34E32">
        <w:t>s)</w:t>
      </w:r>
      <w:r>
        <w:t xml:space="preserve"> of the ordinance.</w:t>
      </w:r>
      <w:r w:rsidR="00AA2200">
        <w:rPr>
          <w:rStyle w:val="FootnoteReference"/>
        </w:rPr>
        <w:footnoteReference w:id="2"/>
      </w:r>
    </w:p>
    <w:p w14:paraId="4AF81EBF" w14:textId="38E12B14" w:rsidR="001D792C" w:rsidRPr="005E4DDE" w:rsidRDefault="00592052" w:rsidP="005E4DDE">
      <w:pPr>
        <w:pStyle w:val="Heading2"/>
      </w:pPr>
      <w:bookmarkStart w:id="2" w:name="_Toc445822467"/>
      <w:bookmarkStart w:id="3" w:name="_Toc445822591"/>
      <w:bookmarkStart w:id="4" w:name="_Toc445822713"/>
      <w:bookmarkStart w:id="5" w:name="_Toc445822834"/>
      <w:bookmarkStart w:id="6" w:name="_Toc445822955"/>
      <w:bookmarkStart w:id="7" w:name="_Toc445823076"/>
      <w:bookmarkStart w:id="8" w:name="_Toc445823197"/>
      <w:bookmarkStart w:id="9" w:name="_Toc445823318"/>
      <w:bookmarkStart w:id="10" w:name="_Toc445823439"/>
      <w:bookmarkStart w:id="11" w:name="_Toc445823560"/>
      <w:bookmarkStart w:id="12" w:name="_Toc445823681"/>
      <w:bookmarkStart w:id="13" w:name="_Toc445823802"/>
      <w:bookmarkStart w:id="14" w:name="_Toc445823924"/>
      <w:bookmarkStart w:id="15" w:name="_Toc445824046"/>
      <w:bookmarkStart w:id="16" w:name="_Toc445906650"/>
      <w:bookmarkStart w:id="17" w:name="_Toc445906817"/>
      <w:bookmarkStart w:id="18" w:name="_Toc445906973"/>
      <w:bookmarkStart w:id="19" w:name="_Toc445907129"/>
      <w:bookmarkStart w:id="20" w:name="_Toc445907287"/>
      <w:bookmarkStart w:id="21" w:name="_Toc445907443"/>
      <w:bookmarkStart w:id="22" w:name="_Toc445907599"/>
      <w:bookmarkStart w:id="23" w:name="_Toc445907755"/>
      <w:bookmarkStart w:id="24" w:name="_Toc445907911"/>
      <w:bookmarkStart w:id="25" w:name="_Toc445822219"/>
      <w:bookmarkStart w:id="26" w:name="_Toc445822344"/>
      <w:bookmarkStart w:id="27" w:name="_Toc445822468"/>
      <w:bookmarkStart w:id="28" w:name="_Toc445822592"/>
      <w:bookmarkStart w:id="29" w:name="_Toc445822714"/>
      <w:bookmarkStart w:id="30" w:name="_Toc445822835"/>
      <w:bookmarkStart w:id="31" w:name="_Toc445822956"/>
      <w:bookmarkStart w:id="32" w:name="_Toc445823077"/>
      <w:bookmarkStart w:id="33" w:name="_Toc445823198"/>
      <w:bookmarkStart w:id="34" w:name="_Toc445823319"/>
      <w:bookmarkStart w:id="35" w:name="_Toc445823440"/>
      <w:bookmarkStart w:id="36" w:name="_Toc445823561"/>
      <w:bookmarkStart w:id="37" w:name="_Toc445823682"/>
      <w:bookmarkStart w:id="38" w:name="_Toc445823803"/>
      <w:bookmarkStart w:id="39" w:name="_Toc445823925"/>
      <w:bookmarkStart w:id="40" w:name="_Toc445824047"/>
      <w:bookmarkStart w:id="41" w:name="_Toc445906651"/>
      <w:bookmarkStart w:id="42" w:name="_Toc445906818"/>
      <w:bookmarkStart w:id="43" w:name="_Toc445906974"/>
      <w:bookmarkStart w:id="44" w:name="_Toc445907130"/>
      <w:bookmarkStart w:id="45" w:name="_Toc445907288"/>
      <w:bookmarkStart w:id="46" w:name="_Toc445907444"/>
      <w:bookmarkStart w:id="47" w:name="_Toc445907600"/>
      <w:bookmarkStart w:id="48" w:name="_Toc445907756"/>
      <w:bookmarkStart w:id="49" w:name="_Toc445907912"/>
      <w:bookmarkStart w:id="50" w:name="_Toc445822221"/>
      <w:bookmarkStart w:id="51" w:name="_Toc445822346"/>
      <w:bookmarkStart w:id="52" w:name="_Toc445822470"/>
      <w:bookmarkStart w:id="53" w:name="_Toc445822594"/>
      <w:bookmarkStart w:id="54" w:name="_Toc445822716"/>
      <w:bookmarkStart w:id="55" w:name="_Toc445822837"/>
      <w:bookmarkStart w:id="56" w:name="_Toc445822958"/>
      <w:bookmarkStart w:id="57" w:name="_Toc445823079"/>
      <w:bookmarkStart w:id="58" w:name="_Toc445823200"/>
      <w:bookmarkStart w:id="59" w:name="_Toc445823321"/>
      <w:bookmarkStart w:id="60" w:name="_Toc445823442"/>
      <w:bookmarkStart w:id="61" w:name="_Toc445823563"/>
      <w:bookmarkStart w:id="62" w:name="_Toc445823684"/>
      <w:bookmarkStart w:id="63" w:name="_Toc445823805"/>
      <w:bookmarkStart w:id="64" w:name="_Toc445823927"/>
      <w:bookmarkStart w:id="65" w:name="_Toc445824049"/>
      <w:bookmarkStart w:id="66" w:name="_Toc445906653"/>
      <w:bookmarkStart w:id="67" w:name="_Toc445906820"/>
      <w:bookmarkStart w:id="68" w:name="_Toc445906976"/>
      <w:bookmarkStart w:id="69" w:name="_Toc445907132"/>
      <w:bookmarkStart w:id="70" w:name="_Toc445907290"/>
      <w:bookmarkStart w:id="71" w:name="_Toc445907446"/>
      <w:bookmarkStart w:id="72" w:name="_Toc445907602"/>
      <w:bookmarkStart w:id="73" w:name="_Toc445907758"/>
      <w:bookmarkStart w:id="74" w:name="_Toc445907914"/>
      <w:bookmarkStart w:id="75" w:name="_Toc445822222"/>
      <w:bookmarkStart w:id="76" w:name="_Toc445822347"/>
      <w:bookmarkStart w:id="77" w:name="_Toc445822471"/>
      <w:bookmarkStart w:id="78" w:name="_Toc445822595"/>
      <w:bookmarkStart w:id="79" w:name="_Toc445822717"/>
      <w:bookmarkStart w:id="80" w:name="_Toc445822838"/>
      <w:bookmarkStart w:id="81" w:name="_Toc445822959"/>
      <w:bookmarkStart w:id="82" w:name="_Toc445823080"/>
      <w:bookmarkStart w:id="83" w:name="_Toc445823201"/>
      <w:bookmarkStart w:id="84" w:name="_Toc445823322"/>
      <w:bookmarkStart w:id="85" w:name="_Toc445823443"/>
      <w:bookmarkStart w:id="86" w:name="_Toc445823564"/>
      <w:bookmarkStart w:id="87" w:name="_Toc445823685"/>
      <w:bookmarkStart w:id="88" w:name="_Toc445823806"/>
      <w:bookmarkStart w:id="89" w:name="_Toc445823928"/>
      <w:bookmarkStart w:id="90" w:name="_Toc445824050"/>
      <w:bookmarkStart w:id="91" w:name="_Toc445906654"/>
      <w:bookmarkStart w:id="92" w:name="_Toc445906821"/>
      <w:bookmarkStart w:id="93" w:name="_Toc445906977"/>
      <w:bookmarkStart w:id="94" w:name="_Toc445907133"/>
      <w:bookmarkStart w:id="95" w:name="_Toc445907291"/>
      <w:bookmarkStart w:id="96" w:name="_Toc445907447"/>
      <w:bookmarkStart w:id="97" w:name="_Toc445907603"/>
      <w:bookmarkStart w:id="98" w:name="_Toc445907759"/>
      <w:bookmarkStart w:id="99" w:name="_Toc445907915"/>
      <w:bookmarkStart w:id="100" w:name="_Toc445822223"/>
      <w:bookmarkStart w:id="101" w:name="_Toc445822348"/>
      <w:bookmarkStart w:id="102" w:name="_Toc445822472"/>
      <w:bookmarkStart w:id="103" w:name="_Toc445822596"/>
      <w:bookmarkStart w:id="104" w:name="_Toc445822718"/>
      <w:bookmarkStart w:id="105" w:name="_Toc445822839"/>
      <w:bookmarkStart w:id="106" w:name="_Toc445822960"/>
      <w:bookmarkStart w:id="107" w:name="_Toc445823081"/>
      <w:bookmarkStart w:id="108" w:name="_Toc445823202"/>
      <w:bookmarkStart w:id="109" w:name="_Toc445823323"/>
      <w:bookmarkStart w:id="110" w:name="_Toc445823444"/>
      <w:bookmarkStart w:id="111" w:name="_Toc445823565"/>
      <w:bookmarkStart w:id="112" w:name="_Toc445823686"/>
      <w:bookmarkStart w:id="113" w:name="_Toc445823807"/>
      <w:bookmarkStart w:id="114" w:name="_Toc445823929"/>
      <w:bookmarkStart w:id="115" w:name="_Toc445824051"/>
      <w:bookmarkStart w:id="116" w:name="_Toc445906655"/>
      <w:bookmarkStart w:id="117" w:name="_Toc445906822"/>
      <w:bookmarkStart w:id="118" w:name="_Toc445906978"/>
      <w:bookmarkStart w:id="119" w:name="_Toc445907134"/>
      <w:bookmarkStart w:id="120" w:name="_Toc445907292"/>
      <w:bookmarkStart w:id="121" w:name="_Toc445907448"/>
      <w:bookmarkStart w:id="122" w:name="_Toc445907604"/>
      <w:bookmarkStart w:id="123" w:name="_Toc445907760"/>
      <w:bookmarkStart w:id="124" w:name="_Toc445907916"/>
      <w:bookmarkStart w:id="125" w:name="_Toc445822224"/>
      <w:bookmarkStart w:id="126" w:name="_Toc445822349"/>
      <w:bookmarkStart w:id="127" w:name="_Toc445822473"/>
      <w:bookmarkStart w:id="128" w:name="_Toc445822597"/>
      <w:bookmarkStart w:id="129" w:name="_Toc445822719"/>
      <w:bookmarkStart w:id="130" w:name="_Toc445822840"/>
      <w:bookmarkStart w:id="131" w:name="_Toc445822961"/>
      <w:bookmarkStart w:id="132" w:name="_Toc445823082"/>
      <w:bookmarkStart w:id="133" w:name="_Toc445823203"/>
      <w:bookmarkStart w:id="134" w:name="_Toc445823324"/>
      <w:bookmarkStart w:id="135" w:name="_Toc445823445"/>
      <w:bookmarkStart w:id="136" w:name="_Toc445823566"/>
      <w:bookmarkStart w:id="137" w:name="_Toc445823687"/>
      <w:bookmarkStart w:id="138" w:name="_Toc445823808"/>
      <w:bookmarkStart w:id="139" w:name="_Toc445823930"/>
      <w:bookmarkStart w:id="140" w:name="_Toc445824052"/>
      <w:bookmarkStart w:id="141" w:name="_Toc445906656"/>
      <w:bookmarkStart w:id="142" w:name="_Toc445906823"/>
      <w:bookmarkStart w:id="143" w:name="_Toc445906979"/>
      <w:bookmarkStart w:id="144" w:name="_Toc445907135"/>
      <w:bookmarkStart w:id="145" w:name="_Toc445907293"/>
      <w:bookmarkStart w:id="146" w:name="_Toc445907449"/>
      <w:bookmarkStart w:id="147" w:name="_Toc445907605"/>
      <w:bookmarkStart w:id="148" w:name="_Toc445907761"/>
      <w:bookmarkStart w:id="149" w:name="_Toc445907917"/>
      <w:bookmarkStart w:id="150" w:name="_Toc445822225"/>
      <w:bookmarkStart w:id="151" w:name="_Toc445822350"/>
      <w:bookmarkStart w:id="152" w:name="_Toc445822474"/>
      <w:bookmarkStart w:id="153" w:name="_Toc445822598"/>
      <w:bookmarkStart w:id="154" w:name="_Toc445822720"/>
      <w:bookmarkStart w:id="155" w:name="_Toc445822841"/>
      <w:bookmarkStart w:id="156" w:name="_Toc445822962"/>
      <w:bookmarkStart w:id="157" w:name="_Toc445823083"/>
      <w:bookmarkStart w:id="158" w:name="_Toc445823204"/>
      <w:bookmarkStart w:id="159" w:name="_Toc445823325"/>
      <w:bookmarkStart w:id="160" w:name="_Toc445823446"/>
      <w:bookmarkStart w:id="161" w:name="_Toc445823567"/>
      <w:bookmarkStart w:id="162" w:name="_Toc445823688"/>
      <w:bookmarkStart w:id="163" w:name="_Toc445823809"/>
      <w:bookmarkStart w:id="164" w:name="_Toc445823931"/>
      <w:bookmarkStart w:id="165" w:name="_Toc445824053"/>
      <w:bookmarkStart w:id="166" w:name="_Toc445906657"/>
      <w:bookmarkStart w:id="167" w:name="_Toc445906824"/>
      <w:bookmarkStart w:id="168" w:name="_Toc445906980"/>
      <w:bookmarkStart w:id="169" w:name="_Toc445907136"/>
      <w:bookmarkStart w:id="170" w:name="_Toc445907294"/>
      <w:bookmarkStart w:id="171" w:name="_Toc445907450"/>
      <w:bookmarkStart w:id="172" w:name="_Toc445907606"/>
      <w:bookmarkStart w:id="173" w:name="_Toc445907762"/>
      <w:bookmarkStart w:id="174" w:name="_Toc445907918"/>
      <w:bookmarkStart w:id="175" w:name="_Toc445822226"/>
      <w:bookmarkStart w:id="176" w:name="_Toc445822351"/>
      <w:bookmarkStart w:id="177" w:name="_Toc445822475"/>
      <w:bookmarkStart w:id="178" w:name="_Toc445822599"/>
      <w:bookmarkStart w:id="179" w:name="_Toc445822721"/>
      <w:bookmarkStart w:id="180" w:name="_Toc445822842"/>
      <w:bookmarkStart w:id="181" w:name="_Toc445822963"/>
      <w:bookmarkStart w:id="182" w:name="_Toc445823084"/>
      <w:bookmarkStart w:id="183" w:name="_Toc445823205"/>
      <w:bookmarkStart w:id="184" w:name="_Toc445823326"/>
      <w:bookmarkStart w:id="185" w:name="_Toc445823447"/>
      <w:bookmarkStart w:id="186" w:name="_Toc445823568"/>
      <w:bookmarkStart w:id="187" w:name="_Toc445823689"/>
      <w:bookmarkStart w:id="188" w:name="_Toc445823810"/>
      <w:bookmarkStart w:id="189" w:name="_Toc445823932"/>
      <w:bookmarkStart w:id="190" w:name="_Toc445824054"/>
      <w:bookmarkStart w:id="191" w:name="_Toc445906658"/>
      <w:bookmarkStart w:id="192" w:name="_Toc445906825"/>
      <w:bookmarkStart w:id="193" w:name="_Toc445906981"/>
      <w:bookmarkStart w:id="194" w:name="_Toc445907137"/>
      <w:bookmarkStart w:id="195" w:name="_Toc445907295"/>
      <w:bookmarkStart w:id="196" w:name="_Toc445907451"/>
      <w:bookmarkStart w:id="197" w:name="_Toc445907607"/>
      <w:bookmarkStart w:id="198" w:name="_Toc445907763"/>
      <w:bookmarkStart w:id="199" w:name="_Toc445907919"/>
      <w:bookmarkStart w:id="200" w:name="_Toc445822227"/>
      <w:bookmarkStart w:id="201" w:name="_Toc445822352"/>
      <w:bookmarkStart w:id="202" w:name="_Toc445822476"/>
      <w:bookmarkStart w:id="203" w:name="_Toc445822600"/>
      <w:bookmarkStart w:id="204" w:name="_Toc445822722"/>
      <w:bookmarkStart w:id="205" w:name="_Toc445822843"/>
      <w:bookmarkStart w:id="206" w:name="_Toc445822964"/>
      <w:bookmarkStart w:id="207" w:name="_Toc445823085"/>
      <w:bookmarkStart w:id="208" w:name="_Toc445823206"/>
      <w:bookmarkStart w:id="209" w:name="_Toc445823327"/>
      <w:bookmarkStart w:id="210" w:name="_Toc445823448"/>
      <w:bookmarkStart w:id="211" w:name="_Toc445823569"/>
      <w:bookmarkStart w:id="212" w:name="_Toc445823690"/>
      <w:bookmarkStart w:id="213" w:name="_Toc445823811"/>
      <w:bookmarkStart w:id="214" w:name="_Toc445823933"/>
      <w:bookmarkStart w:id="215" w:name="_Toc445824055"/>
      <w:bookmarkStart w:id="216" w:name="_Toc445906659"/>
      <w:bookmarkStart w:id="217" w:name="_Toc445906826"/>
      <w:bookmarkStart w:id="218" w:name="_Toc445906982"/>
      <w:bookmarkStart w:id="219" w:name="_Toc445907138"/>
      <w:bookmarkStart w:id="220" w:name="_Toc445907296"/>
      <w:bookmarkStart w:id="221" w:name="_Toc445907452"/>
      <w:bookmarkStart w:id="222" w:name="_Toc445907608"/>
      <w:bookmarkStart w:id="223" w:name="_Toc445907764"/>
      <w:bookmarkStart w:id="224" w:name="_Toc445907920"/>
      <w:bookmarkStart w:id="225" w:name="_Toc445822228"/>
      <w:bookmarkStart w:id="226" w:name="_Toc445822353"/>
      <w:bookmarkStart w:id="227" w:name="_Toc445822477"/>
      <w:bookmarkStart w:id="228" w:name="_Toc445822601"/>
      <w:bookmarkStart w:id="229" w:name="_Toc445822723"/>
      <w:bookmarkStart w:id="230" w:name="_Toc445822844"/>
      <w:bookmarkStart w:id="231" w:name="_Toc445822965"/>
      <w:bookmarkStart w:id="232" w:name="_Toc445823086"/>
      <w:bookmarkStart w:id="233" w:name="_Toc445823207"/>
      <w:bookmarkStart w:id="234" w:name="_Toc445823328"/>
      <w:bookmarkStart w:id="235" w:name="_Toc445823449"/>
      <w:bookmarkStart w:id="236" w:name="_Toc445823570"/>
      <w:bookmarkStart w:id="237" w:name="_Toc445823691"/>
      <w:bookmarkStart w:id="238" w:name="_Toc445823812"/>
      <w:bookmarkStart w:id="239" w:name="_Toc445823934"/>
      <w:bookmarkStart w:id="240" w:name="_Toc445824056"/>
      <w:bookmarkStart w:id="241" w:name="_Toc445906660"/>
      <w:bookmarkStart w:id="242" w:name="_Toc445906827"/>
      <w:bookmarkStart w:id="243" w:name="_Toc445906983"/>
      <w:bookmarkStart w:id="244" w:name="_Toc445907139"/>
      <w:bookmarkStart w:id="245" w:name="_Toc445907297"/>
      <w:bookmarkStart w:id="246" w:name="_Toc445907453"/>
      <w:bookmarkStart w:id="247" w:name="_Toc445907609"/>
      <w:bookmarkStart w:id="248" w:name="_Toc445907765"/>
      <w:bookmarkStart w:id="249" w:name="_Toc445907921"/>
      <w:bookmarkStart w:id="250" w:name="_Toc445822229"/>
      <w:bookmarkStart w:id="251" w:name="_Toc445822354"/>
      <w:bookmarkStart w:id="252" w:name="_Toc445822478"/>
      <w:bookmarkStart w:id="253" w:name="_Toc445822602"/>
      <w:bookmarkStart w:id="254" w:name="_Toc445822724"/>
      <w:bookmarkStart w:id="255" w:name="_Toc445822845"/>
      <w:bookmarkStart w:id="256" w:name="_Toc445822966"/>
      <w:bookmarkStart w:id="257" w:name="_Toc445823087"/>
      <w:bookmarkStart w:id="258" w:name="_Toc445823208"/>
      <w:bookmarkStart w:id="259" w:name="_Toc445823329"/>
      <w:bookmarkStart w:id="260" w:name="_Toc445823450"/>
      <w:bookmarkStart w:id="261" w:name="_Toc445823571"/>
      <w:bookmarkStart w:id="262" w:name="_Toc445823692"/>
      <w:bookmarkStart w:id="263" w:name="_Toc445823813"/>
      <w:bookmarkStart w:id="264" w:name="_Toc445823935"/>
      <w:bookmarkStart w:id="265" w:name="_Toc445824057"/>
      <w:bookmarkStart w:id="266" w:name="_Toc445906661"/>
      <w:bookmarkStart w:id="267" w:name="_Toc445906828"/>
      <w:bookmarkStart w:id="268" w:name="_Toc445906984"/>
      <w:bookmarkStart w:id="269" w:name="_Toc445907140"/>
      <w:bookmarkStart w:id="270" w:name="_Toc445907298"/>
      <w:bookmarkStart w:id="271" w:name="_Toc445907454"/>
      <w:bookmarkStart w:id="272" w:name="_Toc445907610"/>
      <w:bookmarkStart w:id="273" w:name="_Toc445907766"/>
      <w:bookmarkStart w:id="274" w:name="_Toc445907922"/>
      <w:bookmarkStart w:id="275" w:name="_Toc445822230"/>
      <w:bookmarkStart w:id="276" w:name="_Toc445822355"/>
      <w:bookmarkStart w:id="277" w:name="_Toc445822479"/>
      <w:bookmarkStart w:id="278" w:name="_Toc445822603"/>
      <w:bookmarkStart w:id="279" w:name="_Toc445822725"/>
      <w:bookmarkStart w:id="280" w:name="_Toc445822846"/>
      <w:bookmarkStart w:id="281" w:name="_Toc445822967"/>
      <w:bookmarkStart w:id="282" w:name="_Toc445823088"/>
      <w:bookmarkStart w:id="283" w:name="_Toc445823209"/>
      <w:bookmarkStart w:id="284" w:name="_Toc445823330"/>
      <w:bookmarkStart w:id="285" w:name="_Toc445823451"/>
      <w:bookmarkStart w:id="286" w:name="_Toc445823572"/>
      <w:bookmarkStart w:id="287" w:name="_Toc445823693"/>
      <w:bookmarkStart w:id="288" w:name="_Toc445823814"/>
      <w:bookmarkStart w:id="289" w:name="_Toc445823936"/>
      <w:bookmarkStart w:id="290" w:name="_Toc445824058"/>
      <w:bookmarkStart w:id="291" w:name="_Toc445906662"/>
      <w:bookmarkStart w:id="292" w:name="_Toc445906829"/>
      <w:bookmarkStart w:id="293" w:name="_Toc445906985"/>
      <w:bookmarkStart w:id="294" w:name="_Toc445907141"/>
      <w:bookmarkStart w:id="295" w:name="_Toc445907299"/>
      <w:bookmarkStart w:id="296" w:name="_Toc445907455"/>
      <w:bookmarkStart w:id="297" w:name="_Toc445907611"/>
      <w:bookmarkStart w:id="298" w:name="_Toc445907767"/>
      <w:bookmarkStart w:id="299" w:name="_Toc445907923"/>
      <w:bookmarkStart w:id="300" w:name="_Toc445822231"/>
      <w:bookmarkStart w:id="301" w:name="_Toc445822356"/>
      <w:bookmarkStart w:id="302" w:name="_Toc445822480"/>
      <w:bookmarkStart w:id="303" w:name="_Toc445822604"/>
      <w:bookmarkStart w:id="304" w:name="_Toc445822726"/>
      <w:bookmarkStart w:id="305" w:name="_Toc445822847"/>
      <w:bookmarkStart w:id="306" w:name="_Toc445822968"/>
      <w:bookmarkStart w:id="307" w:name="_Toc445823089"/>
      <w:bookmarkStart w:id="308" w:name="_Toc445823210"/>
      <w:bookmarkStart w:id="309" w:name="_Toc445823331"/>
      <w:bookmarkStart w:id="310" w:name="_Toc445823452"/>
      <w:bookmarkStart w:id="311" w:name="_Toc445823573"/>
      <w:bookmarkStart w:id="312" w:name="_Toc445823694"/>
      <w:bookmarkStart w:id="313" w:name="_Toc445823815"/>
      <w:bookmarkStart w:id="314" w:name="_Toc445823937"/>
      <w:bookmarkStart w:id="315" w:name="_Toc445824059"/>
      <w:bookmarkStart w:id="316" w:name="_Toc445906663"/>
      <w:bookmarkStart w:id="317" w:name="_Toc445906830"/>
      <w:bookmarkStart w:id="318" w:name="_Toc445906986"/>
      <w:bookmarkStart w:id="319" w:name="_Toc445907142"/>
      <w:bookmarkStart w:id="320" w:name="_Toc445907300"/>
      <w:bookmarkStart w:id="321" w:name="_Toc445907456"/>
      <w:bookmarkStart w:id="322" w:name="_Toc445907612"/>
      <w:bookmarkStart w:id="323" w:name="_Toc445907768"/>
      <w:bookmarkStart w:id="324" w:name="_Toc445907924"/>
      <w:bookmarkStart w:id="325" w:name="_Are_you_Affected?"/>
      <w:bookmarkStart w:id="326" w:name="_Ref447196901"/>
      <w:bookmarkStart w:id="327" w:name="_Ref447196908"/>
      <w:bookmarkStart w:id="328" w:name="_Ref447196919"/>
      <w:bookmarkStart w:id="329" w:name="_Ref447197057"/>
      <w:bookmarkStart w:id="330" w:name="_Ref447197059"/>
      <w:bookmarkStart w:id="331" w:name="_Ref447197073"/>
      <w:bookmarkStart w:id="332" w:name="_Toc53056375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t>1.</w:t>
      </w:r>
      <w:r w:rsidR="002116FC">
        <w:t>1</w:t>
      </w:r>
      <w:r>
        <w:tab/>
      </w:r>
      <w:r w:rsidR="00AE0331" w:rsidRPr="005E4DDE">
        <w:t xml:space="preserve">Is </w:t>
      </w:r>
      <w:r w:rsidR="006F6349" w:rsidRPr="005E4DDE">
        <w:t>My</w:t>
      </w:r>
      <w:r w:rsidR="00AE0331" w:rsidRPr="005E4DDE">
        <w:t xml:space="preserve"> Building </w:t>
      </w:r>
      <w:r w:rsidR="001D792C" w:rsidRPr="005E4DDE">
        <w:t>Affected?</w:t>
      </w:r>
      <w:bookmarkEnd w:id="326"/>
      <w:bookmarkEnd w:id="327"/>
      <w:bookmarkEnd w:id="328"/>
      <w:bookmarkEnd w:id="329"/>
      <w:bookmarkEnd w:id="330"/>
      <w:bookmarkEnd w:id="331"/>
      <w:bookmarkEnd w:id="332"/>
    </w:p>
    <w:p w14:paraId="2BC071A9" w14:textId="77777777" w:rsidR="001D792C" w:rsidRPr="001D792C" w:rsidRDefault="00132DA9" w:rsidP="001D792C">
      <w:r>
        <w:t xml:space="preserve">To </w:t>
      </w:r>
      <w:r w:rsidR="00E22D2A">
        <w:t xml:space="preserve">verify whether </w:t>
      </w:r>
      <w:r w:rsidR="00AE0331">
        <w:t>a</w:t>
      </w:r>
      <w:r w:rsidR="00E22D2A">
        <w:t xml:space="preserve"> building is required to comply w</w:t>
      </w:r>
      <w:r w:rsidR="0060734C">
        <w:t xml:space="preserve">ith </w:t>
      </w:r>
      <w:r w:rsidR="004D732B">
        <w:t>these requirements</w:t>
      </w:r>
      <w:r w:rsidR="000D3585">
        <w:t>:</w:t>
      </w:r>
    </w:p>
    <w:p w14:paraId="10D53CEF" w14:textId="77777777" w:rsidR="001D792C" w:rsidRPr="000D3585" w:rsidRDefault="001D792C" w:rsidP="000D3585">
      <w:pPr>
        <w:pStyle w:val="ListParagraph"/>
        <w:numPr>
          <w:ilvl w:val="0"/>
          <w:numId w:val="38"/>
        </w:numPr>
        <w:rPr>
          <w:rStyle w:val="Strong"/>
          <w:b w:val="0"/>
        </w:rPr>
      </w:pPr>
      <w:r w:rsidRPr="001D792C">
        <w:rPr>
          <w:rStyle w:val="Strong"/>
        </w:rPr>
        <w:t>Check the Affected Building List</w:t>
      </w:r>
      <w:r>
        <w:rPr>
          <w:rStyle w:val="Strong"/>
        </w:rPr>
        <w:t xml:space="preserve">. </w:t>
      </w:r>
      <w:r w:rsidRPr="000D3585">
        <w:rPr>
          <w:rStyle w:val="Strong"/>
          <w:b w:val="0"/>
        </w:rPr>
        <w:t xml:space="preserve">The City of Boulder posts a list every year of the affected buildings </w:t>
      </w:r>
      <w:r w:rsidR="00A34E32">
        <w:rPr>
          <w:rStyle w:val="Strong"/>
          <w:b w:val="0"/>
        </w:rPr>
        <w:t>subject to</w:t>
      </w:r>
      <w:r w:rsidRPr="000D3585">
        <w:rPr>
          <w:rStyle w:val="Strong"/>
          <w:b w:val="0"/>
        </w:rPr>
        <w:t xml:space="preserve"> </w:t>
      </w:r>
      <w:r w:rsidR="004D732B">
        <w:rPr>
          <w:rStyle w:val="Strong"/>
          <w:b w:val="0"/>
        </w:rPr>
        <w:t xml:space="preserve">the </w:t>
      </w:r>
      <w:r w:rsidRPr="000D3585">
        <w:rPr>
          <w:rStyle w:val="Strong"/>
          <w:b w:val="0"/>
        </w:rPr>
        <w:t xml:space="preserve">requirements </w:t>
      </w:r>
      <w:r w:rsidR="00A34E32">
        <w:rPr>
          <w:rStyle w:val="Strong"/>
          <w:b w:val="0"/>
        </w:rPr>
        <w:t>for</w:t>
      </w:r>
      <w:r w:rsidRPr="000D3585">
        <w:rPr>
          <w:rStyle w:val="Strong"/>
          <w:b w:val="0"/>
        </w:rPr>
        <w:t xml:space="preserve"> </w:t>
      </w:r>
      <w:r w:rsidR="00A34E32">
        <w:rPr>
          <w:rStyle w:val="Strong"/>
          <w:b w:val="0"/>
        </w:rPr>
        <w:t>the coming</w:t>
      </w:r>
      <w:r w:rsidR="00A34E32" w:rsidRPr="000D3585">
        <w:rPr>
          <w:rStyle w:val="Strong"/>
          <w:b w:val="0"/>
        </w:rPr>
        <w:t xml:space="preserve"> </w:t>
      </w:r>
      <w:r w:rsidRPr="000D3585">
        <w:rPr>
          <w:rStyle w:val="Strong"/>
          <w:b w:val="0"/>
        </w:rPr>
        <w:t xml:space="preserve">year. Check this list on the program website at </w:t>
      </w:r>
      <w:hyperlink r:id="rId12" w:history="1">
        <w:r w:rsidRPr="00A171CE">
          <w:rPr>
            <w:rStyle w:val="Hyperlink"/>
          </w:rPr>
          <w:t>www.BoulderBuildingPerformance.com</w:t>
        </w:r>
      </w:hyperlink>
      <w:r w:rsidR="004D732B">
        <w:rPr>
          <w:rStyle w:val="Strong"/>
          <w:b w:val="0"/>
        </w:rPr>
        <w:t>.</w:t>
      </w:r>
    </w:p>
    <w:p w14:paraId="5F8F5CD0" w14:textId="75C56798" w:rsidR="008B2C7D" w:rsidRDefault="00AE0331" w:rsidP="00417961">
      <w:pPr>
        <w:pStyle w:val="ListParagraph"/>
        <w:numPr>
          <w:ilvl w:val="0"/>
          <w:numId w:val="38"/>
        </w:numPr>
      </w:pPr>
      <w:r>
        <w:rPr>
          <w:rStyle w:val="Strong"/>
        </w:rPr>
        <w:t>Determine if the building</w:t>
      </w:r>
      <w:r w:rsidR="001D792C" w:rsidRPr="001D792C">
        <w:rPr>
          <w:rStyle w:val="Strong"/>
        </w:rPr>
        <w:t xml:space="preserve"> meet</w:t>
      </w:r>
      <w:r>
        <w:rPr>
          <w:rStyle w:val="Strong"/>
        </w:rPr>
        <w:t>s</w:t>
      </w:r>
      <w:r w:rsidR="001D792C" w:rsidRPr="001D792C">
        <w:rPr>
          <w:rStyle w:val="Strong"/>
        </w:rPr>
        <w:t xml:space="preserve"> an exemption path</w:t>
      </w:r>
      <w:r w:rsidR="001D792C">
        <w:rPr>
          <w:rStyle w:val="Strong"/>
        </w:rPr>
        <w:t xml:space="preserve">. </w:t>
      </w:r>
      <w:r w:rsidR="00FB59A9" w:rsidRPr="00E402FB">
        <w:t xml:space="preserve">The </w:t>
      </w:r>
      <w:r w:rsidR="00FB59A9">
        <w:t>City</w:t>
      </w:r>
      <w:r w:rsidR="00FB59A9" w:rsidRPr="00E402FB">
        <w:t xml:space="preserve"> of Boulder </w:t>
      </w:r>
      <w:r w:rsidR="00A34E32">
        <w:t xml:space="preserve">structured </w:t>
      </w:r>
      <w:r w:rsidR="004D732B">
        <w:t xml:space="preserve">these requirements </w:t>
      </w:r>
      <w:r w:rsidR="00FB59A9" w:rsidRPr="00E402FB">
        <w:t xml:space="preserve">to reward efficient building owners. If </w:t>
      </w:r>
      <w:r>
        <w:t>an owner has</w:t>
      </w:r>
      <w:r w:rsidR="00FB59A9" w:rsidRPr="00E402FB">
        <w:t xml:space="preserve"> constructed, purchased or upgraded a building with high levels of energy efficiency, </w:t>
      </w:r>
      <w:r>
        <w:t>they</w:t>
      </w:r>
      <w:r w:rsidR="00FB59A9">
        <w:t xml:space="preserve"> are </w:t>
      </w:r>
      <w:r w:rsidR="00FB59A9" w:rsidRPr="00E402FB">
        <w:t>encourage</w:t>
      </w:r>
      <w:r w:rsidR="00FB59A9">
        <w:t>d</w:t>
      </w:r>
      <w:r w:rsidR="00FB59A9" w:rsidRPr="00E402FB">
        <w:t xml:space="preserve"> to </w:t>
      </w:r>
      <w:r w:rsidR="00132DA9">
        <w:t xml:space="preserve">review the </w:t>
      </w:r>
      <w:hyperlink r:id="rId13" w:history="1">
        <w:r w:rsidR="00417961" w:rsidRPr="00C35945">
          <w:rPr>
            <w:rStyle w:val="Hyperlink"/>
          </w:rPr>
          <w:t>Exemption Reference Guide</w:t>
        </w:r>
      </w:hyperlink>
      <w:r w:rsidR="00417961">
        <w:t xml:space="preserve"> </w:t>
      </w:r>
      <w:r w:rsidR="00417961" w:rsidRPr="00417961">
        <w:t>to see if the</w:t>
      </w:r>
      <w:r w:rsidR="00417961">
        <w:t xml:space="preserve"> building qualifies </w:t>
      </w:r>
      <w:r w:rsidR="00417961" w:rsidRPr="00417961">
        <w:t>for any of the exemption pathways</w:t>
      </w:r>
      <w:r w:rsidR="00417961">
        <w:t xml:space="preserve">. </w:t>
      </w:r>
      <w:r w:rsidR="0003491F" w:rsidRPr="0003491F">
        <w:t xml:space="preserve">If </w:t>
      </w:r>
      <w:r>
        <w:t>an owner has</w:t>
      </w:r>
      <w:r w:rsidR="0003491F" w:rsidRPr="0003491F">
        <w:t xml:space="preserve"> determined </w:t>
      </w:r>
      <w:r>
        <w:t>their</w:t>
      </w:r>
      <w:r w:rsidR="0060734C">
        <w:t xml:space="preserve"> building is affected and is</w:t>
      </w:r>
      <w:r w:rsidR="0003491F" w:rsidRPr="0003491F">
        <w:t xml:space="preserve"> not eligible for </w:t>
      </w:r>
      <w:r w:rsidR="004D732B">
        <w:t>an exemption pathway</w:t>
      </w:r>
      <w:r w:rsidR="00C869F3">
        <w:t>,</w:t>
      </w:r>
      <w:r w:rsidR="0003491F" w:rsidRPr="0003491F">
        <w:t xml:space="preserve"> </w:t>
      </w:r>
      <w:r>
        <w:t>the</w:t>
      </w:r>
      <w:r w:rsidR="004D732B">
        <w:t xml:space="preserve"> owner</w:t>
      </w:r>
      <w:r w:rsidR="0003491F" w:rsidRPr="0003491F">
        <w:t xml:space="preserve"> must comply with the efficiency requirement</w:t>
      </w:r>
      <w:r w:rsidR="001D792C">
        <w:t>s of energy assessments, retro</w:t>
      </w:r>
      <w:r w:rsidR="009B45E0">
        <w:t>-</w:t>
      </w:r>
      <w:r w:rsidR="001D792C">
        <w:t>commi</w:t>
      </w:r>
      <w:r w:rsidR="0060734C">
        <w:t>ssioning, and lighting upgrades, as outlined in the following sections.</w:t>
      </w:r>
    </w:p>
    <w:p w14:paraId="19E8760D" w14:textId="3AB51987" w:rsidR="00C35A30" w:rsidRPr="005E4DDE" w:rsidRDefault="00592052" w:rsidP="005E4DDE">
      <w:pPr>
        <w:pStyle w:val="Heading2"/>
      </w:pPr>
      <w:bookmarkStart w:id="333" w:name="_Compliance_Deadlines"/>
      <w:bookmarkStart w:id="334" w:name="_1.2_Compliance_Deadlines"/>
      <w:bookmarkStart w:id="335" w:name="_Toc445462094"/>
      <w:bookmarkStart w:id="336" w:name="_Ref447196924"/>
      <w:bookmarkStart w:id="337" w:name="_Ref447197081"/>
      <w:bookmarkStart w:id="338" w:name="_Toc530563755"/>
      <w:bookmarkEnd w:id="333"/>
      <w:bookmarkEnd w:id="334"/>
      <w:r>
        <w:t>1.</w:t>
      </w:r>
      <w:r w:rsidR="002116FC">
        <w:t>2</w:t>
      </w:r>
      <w:r>
        <w:tab/>
      </w:r>
      <w:r w:rsidR="00C35A30" w:rsidRPr="005E4DDE">
        <w:t>Compliance Deadlines</w:t>
      </w:r>
      <w:bookmarkEnd w:id="335"/>
      <w:bookmarkEnd w:id="336"/>
      <w:bookmarkEnd w:id="337"/>
      <w:bookmarkEnd w:id="338"/>
    </w:p>
    <w:p w14:paraId="06058613" w14:textId="77777777" w:rsidR="00C35A30" w:rsidRDefault="00C35A30" w:rsidP="00C35A30">
      <w:r>
        <w:t xml:space="preserve">The compliance deadlines to meet the efficiency requirements are listed in the table below.  These phased deadlines allow building owners time to plan for </w:t>
      </w:r>
      <w:r w:rsidR="004D732B">
        <w:t>the</w:t>
      </w:r>
      <w:r>
        <w:t xml:space="preserve"> upcoming requirements and associated investments</w:t>
      </w:r>
      <w:r w:rsidRPr="00163BBD">
        <w:t xml:space="preserve">. </w:t>
      </w:r>
    </w:p>
    <w:p w14:paraId="1C85CA38" w14:textId="77777777" w:rsidR="00430BC1" w:rsidRDefault="00430BC1" w:rsidP="00C35A30"/>
    <w:p w14:paraId="772A9F67" w14:textId="77777777" w:rsidR="00430BC1" w:rsidRDefault="00430BC1" w:rsidP="00C35A30"/>
    <w:p w14:paraId="54851E40" w14:textId="77777777" w:rsidR="00430BC1" w:rsidRDefault="00430BC1" w:rsidP="00C35A30"/>
    <w:p w14:paraId="4F0C237B" w14:textId="77777777" w:rsidR="00430BC1" w:rsidRDefault="00430BC1" w:rsidP="00C35A30"/>
    <w:p w14:paraId="3E2AA23D" w14:textId="049EDB13" w:rsidR="00430BC1" w:rsidRPr="00430BC1" w:rsidRDefault="00430BC1" w:rsidP="008475DC">
      <w:pPr>
        <w:jc w:val="center"/>
        <w:rPr>
          <w:color w:val="006666" w:themeColor="accent1"/>
        </w:rPr>
      </w:pPr>
      <w:r w:rsidRPr="00430BC1">
        <w:rPr>
          <w:rStyle w:val="Emphasis"/>
          <w:b/>
          <w:i w:val="0"/>
          <w:color w:val="006666" w:themeColor="accent1"/>
        </w:rPr>
        <w:lastRenderedPageBreak/>
        <w:t>Efficiency Requirement Compliance Deadlines</w:t>
      </w:r>
    </w:p>
    <w:tbl>
      <w:tblPr>
        <w:tblStyle w:val="TableGrid"/>
        <w:tblW w:w="4991" w:type="pct"/>
        <w:tblBorders>
          <w:top w:val="single" w:sz="4" w:space="0" w:color="006666" w:themeColor="accent3"/>
          <w:left w:val="single" w:sz="4" w:space="0" w:color="006666" w:themeColor="accent3"/>
          <w:bottom w:val="single" w:sz="4" w:space="0" w:color="006666" w:themeColor="accent3"/>
          <w:right w:val="single" w:sz="4" w:space="0" w:color="006666" w:themeColor="accent3"/>
          <w:insideH w:val="single" w:sz="4" w:space="0" w:color="006666" w:themeColor="accent3"/>
          <w:insideV w:val="single" w:sz="4" w:space="0" w:color="006666" w:themeColor="accent3"/>
        </w:tblBorders>
        <w:tblLook w:val="04A0" w:firstRow="1" w:lastRow="0" w:firstColumn="1" w:lastColumn="0" w:noHBand="0" w:noVBand="1"/>
      </w:tblPr>
      <w:tblGrid>
        <w:gridCol w:w="2731"/>
        <w:gridCol w:w="1310"/>
        <w:gridCol w:w="1919"/>
        <w:gridCol w:w="1631"/>
        <w:gridCol w:w="1742"/>
      </w:tblGrid>
      <w:tr w:rsidR="00C35A30" w14:paraId="62DB6171" w14:textId="77777777" w:rsidTr="00430BC1">
        <w:trPr>
          <w:trHeight w:val="323"/>
        </w:trPr>
        <w:tc>
          <w:tcPr>
            <w:tcW w:w="1463" w:type="pct"/>
            <w:shd w:val="clear" w:color="auto" w:fill="008080"/>
            <w:vAlign w:val="center"/>
          </w:tcPr>
          <w:p w14:paraId="700D7DAA" w14:textId="03E9B5E4" w:rsidR="00430BC1" w:rsidRPr="00136B67" w:rsidRDefault="00430BC1" w:rsidP="00430BC1">
            <w:pPr>
              <w:keepNext/>
              <w:keepLines/>
              <w:rPr>
                <w:rStyle w:val="Emphasis"/>
                <w:b/>
                <w:i w:val="0"/>
                <w:color w:val="FFFFFF" w:themeColor="background1"/>
                <w:sz w:val="20"/>
                <w:szCs w:val="20"/>
              </w:rPr>
            </w:pPr>
          </w:p>
        </w:tc>
        <w:tc>
          <w:tcPr>
            <w:tcW w:w="702" w:type="pct"/>
            <w:shd w:val="clear" w:color="auto" w:fill="008080"/>
            <w:vAlign w:val="center"/>
          </w:tcPr>
          <w:p w14:paraId="509AC98F" w14:textId="77777777" w:rsidR="00C35A30" w:rsidRPr="00136B67" w:rsidRDefault="00C35A30" w:rsidP="00C35A30">
            <w:pPr>
              <w:keepNext/>
              <w:keepLines/>
              <w:jc w:val="center"/>
              <w:rPr>
                <w:rStyle w:val="Emphasis"/>
                <w:b/>
                <w:i w:val="0"/>
                <w:color w:val="FFFFFF" w:themeColor="background1"/>
                <w:sz w:val="20"/>
                <w:szCs w:val="20"/>
              </w:rPr>
            </w:pPr>
            <w:r w:rsidRPr="00136B67">
              <w:rPr>
                <w:rStyle w:val="Emphasis"/>
                <w:b/>
                <w:i w:val="0"/>
                <w:color w:val="FFFFFF" w:themeColor="background1"/>
                <w:sz w:val="20"/>
                <w:szCs w:val="20"/>
              </w:rPr>
              <w:t>Energy Assessment</w:t>
            </w:r>
            <w:r>
              <w:rPr>
                <w:rStyle w:val="Emphasis"/>
                <w:b/>
                <w:i w:val="0"/>
                <w:color w:val="FFFFFF" w:themeColor="background1"/>
                <w:sz w:val="20"/>
                <w:szCs w:val="20"/>
              </w:rPr>
              <w:t xml:space="preserve"> </w:t>
            </w:r>
          </w:p>
        </w:tc>
        <w:tc>
          <w:tcPr>
            <w:tcW w:w="1028" w:type="pct"/>
            <w:shd w:val="clear" w:color="auto" w:fill="008080"/>
            <w:vAlign w:val="center"/>
          </w:tcPr>
          <w:p w14:paraId="5D3354E1" w14:textId="77777777" w:rsidR="00C35A30" w:rsidRPr="00136B67" w:rsidRDefault="00C35A30" w:rsidP="00C35A30">
            <w:pPr>
              <w:keepNext/>
              <w:keepLines/>
              <w:jc w:val="center"/>
              <w:rPr>
                <w:rStyle w:val="Emphasis"/>
                <w:b/>
                <w:i w:val="0"/>
                <w:color w:val="FFFFFF" w:themeColor="background1"/>
                <w:sz w:val="20"/>
                <w:szCs w:val="20"/>
              </w:rPr>
            </w:pPr>
            <w:proofErr w:type="spellStart"/>
            <w:r>
              <w:rPr>
                <w:rStyle w:val="Emphasis"/>
                <w:b/>
                <w:i w:val="0"/>
                <w:color w:val="FFFFFF" w:themeColor="background1"/>
                <w:sz w:val="20"/>
                <w:szCs w:val="20"/>
              </w:rPr>
              <w:t>Retrocommissioning</w:t>
            </w:r>
            <w:proofErr w:type="spellEnd"/>
          </w:p>
        </w:tc>
        <w:tc>
          <w:tcPr>
            <w:tcW w:w="874" w:type="pct"/>
            <w:shd w:val="clear" w:color="auto" w:fill="008080"/>
            <w:vAlign w:val="center"/>
          </w:tcPr>
          <w:p w14:paraId="154C2517" w14:textId="77777777" w:rsidR="00C35A30" w:rsidRPr="00136B67" w:rsidRDefault="00C35A30" w:rsidP="00C35A30">
            <w:pPr>
              <w:keepNext/>
              <w:keepLines/>
              <w:jc w:val="center"/>
              <w:rPr>
                <w:rStyle w:val="Emphasis"/>
                <w:b/>
                <w:i w:val="0"/>
                <w:color w:val="FFFFFF" w:themeColor="background1"/>
                <w:sz w:val="20"/>
                <w:szCs w:val="20"/>
              </w:rPr>
            </w:pPr>
            <w:r>
              <w:rPr>
                <w:rStyle w:val="Emphasis"/>
                <w:b/>
                <w:i w:val="0"/>
                <w:color w:val="FFFFFF" w:themeColor="background1"/>
                <w:sz w:val="20"/>
                <w:szCs w:val="20"/>
              </w:rPr>
              <w:t>RCx Measure Implementation</w:t>
            </w:r>
          </w:p>
        </w:tc>
        <w:tc>
          <w:tcPr>
            <w:tcW w:w="933" w:type="pct"/>
            <w:shd w:val="clear" w:color="auto" w:fill="008080"/>
            <w:vAlign w:val="center"/>
          </w:tcPr>
          <w:p w14:paraId="2537A5AB" w14:textId="77777777" w:rsidR="00C35A30" w:rsidRPr="00136B67" w:rsidRDefault="00C35A30" w:rsidP="00C35A30">
            <w:pPr>
              <w:keepNext/>
              <w:keepLines/>
              <w:jc w:val="center"/>
              <w:rPr>
                <w:rStyle w:val="Emphasis"/>
                <w:b/>
                <w:i w:val="0"/>
                <w:color w:val="FFFFFF" w:themeColor="background1"/>
                <w:sz w:val="20"/>
                <w:szCs w:val="20"/>
              </w:rPr>
            </w:pPr>
            <w:r>
              <w:rPr>
                <w:rStyle w:val="Emphasis"/>
                <w:b/>
                <w:i w:val="0"/>
                <w:color w:val="FFFFFF" w:themeColor="background1"/>
                <w:sz w:val="20"/>
                <w:szCs w:val="20"/>
              </w:rPr>
              <w:t>Lighting Upgrade</w:t>
            </w:r>
          </w:p>
        </w:tc>
      </w:tr>
      <w:tr w:rsidR="00C35A30" w14:paraId="24AB06A8" w14:textId="77777777" w:rsidTr="00430BC1">
        <w:trPr>
          <w:trHeight w:val="647"/>
        </w:trPr>
        <w:tc>
          <w:tcPr>
            <w:tcW w:w="1463" w:type="pct"/>
            <w:vAlign w:val="center"/>
          </w:tcPr>
          <w:p w14:paraId="15362177" w14:textId="77777777" w:rsidR="00C35A30" w:rsidRPr="004D2E64" w:rsidRDefault="00C35A30" w:rsidP="00C35A30">
            <w:pPr>
              <w:keepNext/>
              <w:keepLines/>
              <w:rPr>
                <w:sz w:val="20"/>
              </w:rPr>
            </w:pPr>
            <w:r>
              <w:rPr>
                <w:bCs/>
                <w:sz w:val="20"/>
              </w:rPr>
              <w:t>City b</w:t>
            </w:r>
            <w:r w:rsidRPr="004D2E64">
              <w:rPr>
                <w:bCs/>
                <w:sz w:val="20"/>
              </w:rPr>
              <w:t xml:space="preserve">uildings </w:t>
            </w:r>
            <w:r w:rsidRPr="001C4A01">
              <w:rPr>
                <w:bCs/>
                <w:sz w:val="20"/>
                <w:u w:val="single"/>
              </w:rPr>
              <w:t>&gt;</w:t>
            </w:r>
            <w:r w:rsidRPr="004D2E64">
              <w:rPr>
                <w:bCs/>
                <w:sz w:val="20"/>
              </w:rPr>
              <w:t xml:space="preserve"> </w:t>
            </w:r>
            <w:r>
              <w:rPr>
                <w:bCs/>
                <w:sz w:val="20"/>
              </w:rPr>
              <w:t>10</w:t>
            </w:r>
            <w:r w:rsidRPr="004D2E64">
              <w:rPr>
                <w:bCs/>
                <w:sz w:val="20"/>
              </w:rPr>
              <w:t>,000</w:t>
            </w:r>
            <w:r>
              <w:rPr>
                <w:bCs/>
                <w:sz w:val="20"/>
              </w:rPr>
              <w:t xml:space="preserve"> sf</w:t>
            </w:r>
            <w:r w:rsidR="009C784F">
              <w:rPr>
                <w:bCs/>
                <w:sz w:val="20"/>
              </w:rPr>
              <w:t>*</w:t>
            </w:r>
          </w:p>
        </w:tc>
        <w:tc>
          <w:tcPr>
            <w:tcW w:w="702" w:type="pct"/>
            <w:vAlign w:val="center"/>
          </w:tcPr>
          <w:p w14:paraId="58AE9DE8" w14:textId="77777777" w:rsidR="00C35A30" w:rsidRPr="004D2E64" w:rsidRDefault="00C35A30" w:rsidP="00C35A30">
            <w:pPr>
              <w:keepNext/>
              <w:keepLines/>
              <w:jc w:val="center"/>
              <w:rPr>
                <w:sz w:val="20"/>
              </w:rPr>
            </w:pPr>
            <w:r w:rsidRPr="004D2E64">
              <w:rPr>
                <w:b/>
                <w:sz w:val="20"/>
              </w:rPr>
              <w:t>May 1, 201</w:t>
            </w:r>
            <w:r>
              <w:rPr>
                <w:b/>
                <w:sz w:val="20"/>
              </w:rPr>
              <w:t>9</w:t>
            </w:r>
            <w:r w:rsidRPr="004D2E64">
              <w:rPr>
                <w:sz w:val="20"/>
              </w:rPr>
              <w:t xml:space="preserve"> </w:t>
            </w:r>
          </w:p>
        </w:tc>
        <w:tc>
          <w:tcPr>
            <w:tcW w:w="1028" w:type="pct"/>
            <w:vAlign w:val="center"/>
          </w:tcPr>
          <w:p w14:paraId="3DECB8A7" w14:textId="61BED318" w:rsidR="00C35A30" w:rsidRDefault="00C35A30" w:rsidP="00C35A30">
            <w:pPr>
              <w:keepNext/>
              <w:keepLines/>
              <w:jc w:val="center"/>
              <w:rPr>
                <w:b/>
                <w:sz w:val="20"/>
              </w:rPr>
            </w:pPr>
            <w:r w:rsidRPr="00325930">
              <w:rPr>
                <w:b/>
                <w:sz w:val="20"/>
              </w:rPr>
              <w:t>May 1, 202</w:t>
            </w:r>
            <w:r w:rsidR="0078799C">
              <w:rPr>
                <w:b/>
                <w:sz w:val="20"/>
              </w:rPr>
              <w:t>2</w:t>
            </w:r>
          </w:p>
        </w:tc>
        <w:tc>
          <w:tcPr>
            <w:tcW w:w="874" w:type="pct"/>
            <w:vAlign w:val="center"/>
          </w:tcPr>
          <w:p w14:paraId="3D74C3AC" w14:textId="71E10F3E" w:rsidR="00C35A30" w:rsidRDefault="00C35A30" w:rsidP="00C35A30">
            <w:pPr>
              <w:keepNext/>
              <w:keepLines/>
              <w:jc w:val="center"/>
              <w:rPr>
                <w:b/>
                <w:sz w:val="20"/>
              </w:rPr>
            </w:pPr>
            <w:r w:rsidRPr="00325930">
              <w:rPr>
                <w:b/>
                <w:sz w:val="20"/>
              </w:rPr>
              <w:t>May 1, 202</w:t>
            </w:r>
            <w:r w:rsidR="0078799C">
              <w:rPr>
                <w:b/>
                <w:sz w:val="20"/>
              </w:rPr>
              <w:t>4</w:t>
            </w:r>
          </w:p>
        </w:tc>
        <w:tc>
          <w:tcPr>
            <w:tcW w:w="933" w:type="pct"/>
            <w:vAlign w:val="center"/>
          </w:tcPr>
          <w:p w14:paraId="438371A1" w14:textId="35E7B831" w:rsidR="00C35A30" w:rsidRDefault="00C35A30" w:rsidP="00C35A30">
            <w:pPr>
              <w:keepNext/>
              <w:keepLines/>
              <w:jc w:val="center"/>
              <w:rPr>
                <w:b/>
                <w:sz w:val="20"/>
              </w:rPr>
            </w:pPr>
            <w:r>
              <w:rPr>
                <w:b/>
                <w:sz w:val="20"/>
              </w:rPr>
              <w:t>May 1, 202</w:t>
            </w:r>
            <w:r w:rsidR="0078799C">
              <w:rPr>
                <w:b/>
                <w:sz w:val="20"/>
              </w:rPr>
              <w:t>2</w:t>
            </w:r>
          </w:p>
        </w:tc>
      </w:tr>
      <w:tr w:rsidR="00C35A30" w14:paraId="1DAD9EFE" w14:textId="77777777" w:rsidTr="00430BC1">
        <w:trPr>
          <w:trHeight w:val="629"/>
        </w:trPr>
        <w:tc>
          <w:tcPr>
            <w:tcW w:w="1463" w:type="pct"/>
            <w:vAlign w:val="center"/>
          </w:tcPr>
          <w:p w14:paraId="502B145A" w14:textId="77777777" w:rsidR="00C35A30" w:rsidRPr="004D2E64" w:rsidRDefault="00C35A30" w:rsidP="00C35A30">
            <w:pPr>
              <w:keepNext/>
              <w:keepLines/>
              <w:rPr>
                <w:bCs/>
                <w:sz w:val="20"/>
                <w:szCs w:val="20"/>
              </w:rPr>
            </w:pPr>
            <w:r w:rsidRPr="004D2E64">
              <w:rPr>
                <w:bCs/>
                <w:sz w:val="20"/>
                <w:szCs w:val="20"/>
              </w:rPr>
              <w:t>Existing buildings*</w:t>
            </w:r>
            <w:r w:rsidR="009C784F">
              <w:rPr>
                <w:bCs/>
                <w:sz w:val="20"/>
                <w:szCs w:val="20"/>
              </w:rPr>
              <w:t>*</w:t>
            </w:r>
            <w:r w:rsidRPr="004D2E64">
              <w:rPr>
                <w:bCs/>
                <w:sz w:val="20"/>
                <w:szCs w:val="20"/>
              </w:rPr>
              <w:t xml:space="preserve"> </w:t>
            </w:r>
            <w:r w:rsidRPr="00AB0771">
              <w:rPr>
                <w:bCs/>
                <w:sz w:val="20"/>
                <w:szCs w:val="20"/>
                <w:u w:val="single"/>
              </w:rPr>
              <w:t>&gt;</w:t>
            </w:r>
            <w:r w:rsidRPr="004D2E64">
              <w:rPr>
                <w:bCs/>
                <w:sz w:val="20"/>
                <w:szCs w:val="20"/>
              </w:rPr>
              <w:t xml:space="preserve"> 50,000 sf</w:t>
            </w:r>
          </w:p>
          <w:p w14:paraId="1FB898D0" w14:textId="77777777" w:rsidR="00C35A30" w:rsidRPr="004D2E64" w:rsidRDefault="00C35A30" w:rsidP="00C35A30">
            <w:pPr>
              <w:keepNext/>
              <w:keepLines/>
              <w:rPr>
                <w:bCs/>
                <w:sz w:val="20"/>
                <w:szCs w:val="20"/>
              </w:rPr>
            </w:pPr>
            <w:r w:rsidRPr="004D2E64">
              <w:rPr>
                <w:bCs/>
                <w:sz w:val="20"/>
                <w:szCs w:val="20"/>
              </w:rPr>
              <w:t>New buildings</w:t>
            </w:r>
            <w:r>
              <w:rPr>
                <w:bCs/>
                <w:sz w:val="20"/>
                <w:szCs w:val="20"/>
              </w:rPr>
              <w:t>*</w:t>
            </w:r>
            <w:r w:rsidRPr="004D2E64">
              <w:rPr>
                <w:bCs/>
                <w:sz w:val="20"/>
                <w:szCs w:val="20"/>
              </w:rPr>
              <w:t>*</w:t>
            </w:r>
            <w:r w:rsidR="009C784F">
              <w:rPr>
                <w:bCs/>
                <w:sz w:val="20"/>
                <w:szCs w:val="20"/>
              </w:rPr>
              <w:t>*</w:t>
            </w:r>
            <w:r w:rsidRPr="004D2E64">
              <w:rPr>
                <w:bCs/>
                <w:sz w:val="20"/>
                <w:szCs w:val="20"/>
              </w:rPr>
              <w:t xml:space="preserve"> </w:t>
            </w:r>
            <w:r w:rsidRPr="00AB0771">
              <w:rPr>
                <w:bCs/>
                <w:sz w:val="20"/>
                <w:szCs w:val="20"/>
                <w:u w:val="single"/>
              </w:rPr>
              <w:t>&gt;</w:t>
            </w:r>
            <w:r w:rsidRPr="004D2E64">
              <w:rPr>
                <w:bCs/>
                <w:sz w:val="20"/>
                <w:szCs w:val="20"/>
              </w:rPr>
              <w:t xml:space="preserve"> 10,000 sf</w:t>
            </w:r>
          </w:p>
        </w:tc>
        <w:tc>
          <w:tcPr>
            <w:tcW w:w="702" w:type="pct"/>
            <w:vAlign w:val="center"/>
          </w:tcPr>
          <w:p w14:paraId="07CB2E6B" w14:textId="77777777" w:rsidR="00C35A30" w:rsidRPr="004D2E64" w:rsidRDefault="00C35A30" w:rsidP="00C35A30">
            <w:pPr>
              <w:keepNext/>
              <w:keepLines/>
              <w:jc w:val="center"/>
              <w:rPr>
                <w:sz w:val="20"/>
              </w:rPr>
            </w:pPr>
            <w:r>
              <w:rPr>
                <w:b/>
                <w:sz w:val="20"/>
              </w:rPr>
              <w:t>June</w:t>
            </w:r>
            <w:r w:rsidRPr="004D2E64">
              <w:rPr>
                <w:b/>
                <w:sz w:val="20"/>
              </w:rPr>
              <w:t xml:space="preserve"> 1, 201</w:t>
            </w:r>
            <w:r>
              <w:rPr>
                <w:b/>
                <w:sz w:val="20"/>
              </w:rPr>
              <w:t>9</w:t>
            </w:r>
            <w:r w:rsidRPr="004D2E64">
              <w:rPr>
                <w:sz w:val="20"/>
              </w:rPr>
              <w:t xml:space="preserve"> </w:t>
            </w:r>
          </w:p>
        </w:tc>
        <w:tc>
          <w:tcPr>
            <w:tcW w:w="1028" w:type="pct"/>
            <w:vAlign w:val="center"/>
          </w:tcPr>
          <w:p w14:paraId="18C083F5" w14:textId="1A63F9F9" w:rsidR="00C35A30" w:rsidRDefault="00C35A30" w:rsidP="00C35A30">
            <w:pPr>
              <w:keepNext/>
              <w:keepLines/>
              <w:jc w:val="center"/>
              <w:rPr>
                <w:b/>
                <w:sz w:val="20"/>
              </w:rPr>
            </w:pPr>
            <w:r>
              <w:rPr>
                <w:b/>
                <w:sz w:val="20"/>
              </w:rPr>
              <w:t>June</w:t>
            </w:r>
            <w:r w:rsidRPr="004D2E64">
              <w:rPr>
                <w:b/>
                <w:sz w:val="20"/>
              </w:rPr>
              <w:t xml:space="preserve"> </w:t>
            </w:r>
            <w:r w:rsidRPr="00325930">
              <w:rPr>
                <w:b/>
                <w:sz w:val="20"/>
              </w:rPr>
              <w:t>1, 202</w:t>
            </w:r>
            <w:r w:rsidR="0078799C">
              <w:rPr>
                <w:b/>
                <w:sz w:val="20"/>
              </w:rPr>
              <w:t>2</w:t>
            </w:r>
          </w:p>
        </w:tc>
        <w:tc>
          <w:tcPr>
            <w:tcW w:w="874" w:type="pct"/>
            <w:vAlign w:val="center"/>
          </w:tcPr>
          <w:p w14:paraId="2C93139D" w14:textId="3ABBF0FC" w:rsidR="00C35A30" w:rsidRDefault="00C35A30" w:rsidP="00C35A30">
            <w:pPr>
              <w:keepNext/>
              <w:keepLines/>
              <w:jc w:val="center"/>
              <w:rPr>
                <w:b/>
                <w:sz w:val="20"/>
              </w:rPr>
            </w:pPr>
            <w:r>
              <w:rPr>
                <w:b/>
                <w:sz w:val="20"/>
              </w:rPr>
              <w:t>June</w:t>
            </w:r>
            <w:r w:rsidRPr="004D2E64">
              <w:rPr>
                <w:b/>
                <w:sz w:val="20"/>
              </w:rPr>
              <w:t xml:space="preserve"> </w:t>
            </w:r>
            <w:r w:rsidRPr="00325930">
              <w:rPr>
                <w:b/>
                <w:sz w:val="20"/>
              </w:rPr>
              <w:t>1, 202</w:t>
            </w:r>
            <w:r w:rsidR="0078799C">
              <w:rPr>
                <w:b/>
                <w:sz w:val="20"/>
              </w:rPr>
              <w:t>4</w:t>
            </w:r>
          </w:p>
        </w:tc>
        <w:tc>
          <w:tcPr>
            <w:tcW w:w="933" w:type="pct"/>
            <w:vAlign w:val="center"/>
          </w:tcPr>
          <w:p w14:paraId="21643E10" w14:textId="6AB4E15B" w:rsidR="00C35A30" w:rsidRDefault="00C35A30" w:rsidP="00C35A30">
            <w:pPr>
              <w:keepNext/>
              <w:keepLines/>
              <w:jc w:val="center"/>
              <w:rPr>
                <w:b/>
                <w:sz w:val="20"/>
              </w:rPr>
            </w:pPr>
            <w:r>
              <w:rPr>
                <w:b/>
                <w:sz w:val="20"/>
              </w:rPr>
              <w:t>June</w:t>
            </w:r>
            <w:r w:rsidRPr="004D2E64">
              <w:rPr>
                <w:b/>
                <w:sz w:val="20"/>
              </w:rPr>
              <w:t xml:space="preserve"> </w:t>
            </w:r>
            <w:r>
              <w:rPr>
                <w:b/>
                <w:sz w:val="20"/>
              </w:rPr>
              <w:t>1, 202</w:t>
            </w:r>
            <w:r w:rsidR="0078799C">
              <w:rPr>
                <w:b/>
                <w:sz w:val="20"/>
              </w:rPr>
              <w:t>2</w:t>
            </w:r>
          </w:p>
        </w:tc>
      </w:tr>
      <w:tr w:rsidR="00C35A30" w14:paraId="7052B5DA" w14:textId="77777777" w:rsidTr="00430BC1">
        <w:trPr>
          <w:trHeight w:val="629"/>
        </w:trPr>
        <w:tc>
          <w:tcPr>
            <w:tcW w:w="1463" w:type="pct"/>
            <w:vAlign w:val="center"/>
          </w:tcPr>
          <w:p w14:paraId="28B92C13" w14:textId="77777777" w:rsidR="00C35A30" w:rsidRPr="005A0743" w:rsidRDefault="00C35A30" w:rsidP="00C35A30">
            <w:pPr>
              <w:keepNext/>
              <w:keepLines/>
              <w:rPr>
                <w:bCs/>
                <w:sz w:val="20"/>
                <w:szCs w:val="20"/>
              </w:rPr>
            </w:pPr>
            <w:r w:rsidRPr="005A0743">
              <w:rPr>
                <w:bCs/>
                <w:sz w:val="20"/>
                <w:szCs w:val="20"/>
              </w:rPr>
              <w:t xml:space="preserve">Existing buildings </w:t>
            </w:r>
            <w:r>
              <w:rPr>
                <w:bCs/>
                <w:sz w:val="20"/>
                <w:szCs w:val="20"/>
                <w:u w:val="single"/>
              </w:rPr>
              <w:t>&gt;</w:t>
            </w:r>
            <w:r w:rsidRPr="005A0743">
              <w:rPr>
                <w:bCs/>
                <w:sz w:val="20"/>
                <w:szCs w:val="20"/>
              </w:rPr>
              <w:t xml:space="preserve"> </w:t>
            </w:r>
            <w:r>
              <w:rPr>
                <w:bCs/>
                <w:sz w:val="20"/>
                <w:szCs w:val="20"/>
              </w:rPr>
              <w:t>3</w:t>
            </w:r>
            <w:r w:rsidRPr="005A0743">
              <w:rPr>
                <w:bCs/>
                <w:sz w:val="20"/>
                <w:szCs w:val="20"/>
              </w:rPr>
              <w:t xml:space="preserve">0,000 </w:t>
            </w:r>
            <w:r>
              <w:rPr>
                <w:bCs/>
                <w:sz w:val="20"/>
                <w:szCs w:val="20"/>
              </w:rPr>
              <w:t xml:space="preserve">and &lt; 50,000 </w:t>
            </w:r>
            <w:r w:rsidRPr="005A0743">
              <w:rPr>
                <w:bCs/>
                <w:sz w:val="20"/>
                <w:szCs w:val="20"/>
              </w:rPr>
              <w:t>sf</w:t>
            </w:r>
          </w:p>
        </w:tc>
        <w:tc>
          <w:tcPr>
            <w:tcW w:w="702" w:type="pct"/>
            <w:vAlign w:val="center"/>
          </w:tcPr>
          <w:p w14:paraId="62DC9869" w14:textId="250DEA9D" w:rsidR="00C35A30" w:rsidRPr="005A0743" w:rsidRDefault="0078799C" w:rsidP="00C35A30">
            <w:pPr>
              <w:keepNext/>
              <w:keepLines/>
              <w:jc w:val="center"/>
              <w:rPr>
                <w:b/>
                <w:sz w:val="20"/>
              </w:rPr>
            </w:pPr>
            <w:r>
              <w:rPr>
                <w:b/>
                <w:sz w:val="20"/>
              </w:rPr>
              <w:t>December</w:t>
            </w:r>
            <w:r w:rsidR="00C35A30" w:rsidRPr="004D2E64">
              <w:rPr>
                <w:b/>
                <w:sz w:val="20"/>
              </w:rPr>
              <w:t xml:space="preserve"> </w:t>
            </w:r>
            <w:r>
              <w:rPr>
                <w:b/>
                <w:sz w:val="20"/>
              </w:rPr>
              <w:t>3</w:t>
            </w:r>
            <w:r w:rsidR="00C35A30" w:rsidRPr="005A0743">
              <w:rPr>
                <w:b/>
                <w:sz w:val="20"/>
              </w:rPr>
              <w:t>1, 20</w:t>
            </w:r>
            <w:r w:rsidR="00C35A30">
              <w:rPr>
                <w:b/>
                <w:sz w:val="20"/>
              </w:rPr>
              <w:t>21</w:t>
            </w:r>
            <w:r w:rsidR="00C35A30" w:rsidRPr="005A0743">
              <w:rPr>
                <w:sz w:val="20"/>
              </w:rPr>
              <w:t xml:space="preserve"> </w:t>
            </w:r>
          </w:p>
        </w:tc>
        <w:tc>
          <w:tcPr>
            <w:tcW w:w="1028" w:type="pct"/>
            <w:vAlign w:val="center"/>
          </w:tcPr>
          <w:p w14:paraId="43CFE73C" w14:textId="77777777" w:rsidR="00C35A30" w:rsidRPr="005A0743" w:rsidRDefault="00C35A30" w:rsidP="00C35A30">
            <w:pPr>
              <w:keepNext/>
              <w:keepLines/>
              <w:jc w:val="center"/>
              <w:rPr>
                <w:b/>
                <w:sz w:val="20"/>
              </w:rPr>
            </w:pPr>
            <w:r w:rsidRPr="00325930">
              <w:rPr>
                <w:b/>
                <w:sz w:val="20"/>
              </w:rPr>
              <w:t>June 1, 2023</w:t>
            </w:r>
          </w:p>
        </w:tc>
        <w:tc>
          <w:tcPr>
            <w:tcW w:w="874" w:type="pct"/>
            <w:vAlign w:val="center"/>
          </w:tcPr>
          <w:p w14:paraId="19E6C2A3" w14:textId="77777777" w:rsidR="00C35A30" w:rsidRPr="005A0743" w:rsidRDefault="00C35A30" w:rsidP="00C35A30">
            <w:pPr>
              <w:keepNext/>
              <w:keepLines/>
              <w:jc w:val="center"/>
              <w:rPr>
                <w:b/>
                <w:sz w:val="20"/>
              </w:rPr>
            </w:pPr>
            <w:r w:rsidRPr="00325930">
              <w:rPr>
                <w:b/>
                <w:sz w:val="20"/>
              </w:rPr>
              <w:t>June 1, 2025</w:t>
            </w:r>
          </w:p>
        </w:tc>
        <w:tc>
          <w:tcPr>
            <w:tcW w:w="933" w:type="pct"/>
            <w:vAlign w:val="center"/>
          </w:tcPr>
          <w:p w14:paraId="44C5B8E3" w14:textId="77777777" w:rsidR="00C35A30" w:rsidRPr="005A0743" w:rsidRDefault="00C35A30" w:rsidP="00C35A30">
            <w:pPr>
              <w:keepNext/>
              <w:keepLines/>
              <w:jc w:val="center"/>
              <w:rPr>
                <w:b/>
                <w:sz w:val="20"/>
              </w:rPr>
            </w:pPr>
            <w:r>
              <w:rPr>
                <w:b/>
                <w:sz w:val="20"/>
              </w:rPr>
              <w:t>June 1, 2023</w:t>
            </w:r>
          </w:p>
        </w:tc>
      </w:tr>
      <w:tr w:rsidR="00C35A30" w14:paraId="541294CE" w14:textId="77777777" w:rsidTr="00430BC1">
        <w:trPr>
          <w:trHeight w:val="620"/>
        </w:trPr>
        <w:tc>
          <w:tcPr>
            <w:tcW w:w="1463" w:type="pct"/>
            <w:vAlign w:val="center"/>
          </w:tcPr>
          <w:p w14:paraId="301760C9" w14:textId="77777777" w:rsidR="00C35A30" w:rsidRPr="005A0743" w:rsidRDefault="00C35A30" w:rsidP="00C35A30">
            <w:pPr>
              <w:keepNext/>
              <w:keepLines/>
              <w:rPr>
                <w:bCs/>
                <w:sz w:val="20"/>
                <w:szCs w:val="20"/>
              </w:rPr>
            </w:pPr>
            <w:r w:rsidRPr="005A0743">
              <w:rPr>
                <w:bCs/>
                <w:sz w:val="20"/>
                <w:szCs w:val="20"/>
              </w:rPr>
              <w:t xml:space="preserve">Existing buildings </w:t>
            </w:r>
            <w:r>
              <w:rPr>
                <w:bCs/>
                <w:sz w:val="20"/>
                <w:szCs w:val="20"/>
                <w:u w:val="single"/>
              </w:rPr>
              <w:t>&gt;</w:t>
            </w:r>
            <w:r w:rsidRPr="005A0743">
              <w:rPr>
                <w:bCs/>
                <w:sz w:val="20"/>
                <w:szCs w:val="20"/>
              </w:rPr>
              <w:t xml:space="preserve"> </w:t>
            </w:r>
            <w:r>
              <w:rPr>
                <w:bCs/>
                <w:sz w:val="20"/>
                <w:szCs w:val="20"/>
              </w:rPr>
              <w:t>2</w:t>
            </w:r>
            <w:r w:rsidRPr="005A0743">
              <w:rPr>
                <w:bCs/>
                <w:sz w:val="20"/>
                <w:szCs w:val="20"/>
              </w:rPr>
              <w:t xml:space="preserve">0,000 </w:t>
            </w:r>
            <w:r>
              <w:rPr>
                <w:bCs/>
                <w:sz w:val="20"/>
                <w:szCs w:val="20"/>
              </w:rPr>
              <w:t xml:space="preserve">and &lt; 30,000 </w:t>
            </w:r>
            <w:r w:rsidRPr="005A0743">
              <w:rPr>
                <w:bCs/>
                <w:sz w:val="20"/>
                <w:szCs w:val="20"/>
              </w:rPr>
              <w:t>sf</w:t>
            </w:r>
          </w:p>
        </w:tc>
        <w:tc>
          <w:tcPr>
            <w:tcW w:w="702" w:type="pct"/>
            <w:vAlign w:val="center"/>
          </w:tcPr>
          <w:p w14:paraId="0BE8CAC7" w14:textId="77777777" w:rsidR="00C35A30" w:rsidRPr="005A0743" w:rsidRDefault="00C35A30" w:rsidP="00C35A30">
            <w:pPr>
              <w:keepNext/>
              <w:keepLines/>
              <w:jc w:val="center"/>
              <w:rPr>
                <w:b/>
                <w:sz w:val="20"/>
              </w:rPr>
            </w:pPr>
            <w:r>
              <w:rPr>
                <w:b/>
                <w:sz w:val="20"/>
              </w:rPr>
              <w:t>June</w:t>
            </w:r>
            <w:r w:rsidRPr="004D2E64">
              <w:rPr>
                <w:b/>
                <w:sz w:val="20"/>
              </w:rPr>
              <w:t xml:space="preserve"> </w:t>
            </w:r>
            <w:r w:rsidRPr="005A0743">
              <w:rPr>
                <w:b/>
                <w:sz w:val="20"/>
              </w:rPr>
              <w:t>1, 20</w:t>
            </w:r>
            <w:r>
              <w:rPr>
                <w:b/>
                <w:sz w:val="20"/>
              </w:rPr>
              <w:t>23</w:t>
            </w:r>
            <w:r w:rsidRPr="005A0743">
              <w:rPr>
                <w:sz w:val="20"/>
              </w:rPr>
              <w:t xml:space="preserve"> </w:t>
            </w:r>
          </w:p>
        </w:tc>
        <w:tc>
          <w:tcPr>
            <w:tcW w:w="1028" w:type="pct"/>
            <w:vAlign w:val="center"/>
          </w:tcPr>
          <w:p w14:paraId="7CB7D9E7" w14:textId="77777777" w:rsidR="00C35A30" w:rsidRPr="005A0743" w:rsidRDefault="00C35A30" w:rsidP="00C35A30">
            <w:pPr>
              <w:keepNext/>
              <w:keepLines/>
              <w:jc w:val="center"/>
              <w:rPr>
                <w:b/>
                <w:sz w:val="20"/>
              </w:rPr>
            </w:pPr>
            <w:r w:rsidRPr="00325930">
              <w:rPr>
                <w:b/>
                <w:sz w:val="20"/>
              </w:rPr>
              <w:t>June 1, 2025</w:t>
            </w:r>
          </w:p>
        </w:tc>
        <w:tc>
          <w:tcPr>
            <w:tcW w:w="874" w:type="pct"/>
            <w:vAlign w:val="center"/>
          </w:tcPr>
          <w:p w14:paraId="342F7A2A" w14:textId="77777777" w:rsidR="00C35A30" w:rsidRPr="005A0743" w:rsidRDefault="00C35A30" w:rsidP="00C35A30">
            <w:pPr>
              <w:keepNext/>
              <w:keepLines/>
              <w:jc w:val="center"/>
              <w:rPr>
                <w:b/>
                <w:sz w:val="20"/>
              </w:rPr>
            </w:pPr>
            <w:r>
              <w:rPr>
                <w:b/>
                <w:sz w:val="20"/>
              </w:rPr>
              <w:t>June 1, 2027</w:t>
            </w:r>
          </w:p>
        </w:tc>
        <w:tc>
          <w:tcPr>
            <w:tcW w:w="933" w:type="pct"/>
            <w:vAlign w:val="center"/>
          </w:tcPr>
          <w:p w14:paraId="1C6E71DB" w14:textId="688991EC" w:rsidR="00C35A30" w:rsidRPr="005A0743" w:rsidRDefault="00C35A30" w:rsidP="00C35A30">
            <w:pPr>
              <w:keepNext/>
              <w:keepLines/>
              <w:jc w:val="center"/>
              <w:rPr>
                <w:b/>
                <w:sz w:val="20"/>
              </w:rPr>
            </w:pPr>
            <w:r>
              <w:rPr>
                <w:b/>
                <w:sz w:val="20"/>
              </w:rPr>
              <w:t>June 1, 202</w:t>
            </w:r>
            <w:r w:rsidR="00AD4B96">
              <w:rPr>
                <w:b/>
                <w:sz w:val="20"/>
              </w:rPr>
              <w:t>6</w:t>
            </w:r>
          </w:p>
        </w:tc>
      </w:tr>
    </w:tbl>
    <w:p w14:paraId="2501B27B" w14:textId="77777777" w:rsidR="00920663" w:rsidRDefault="00920663" w:rsidP="00920663">
      <w:pPr>
        <w:keepNext/>
        <w:keepLines/>
        <w:spacing w:before="60"/>
        <w:rPr>
          <w:i/>
          <w:sz w:val="20"/>
        </w:rPr>
      </w:pPr>
      <w:r>
        <w:rPr>
          <w:i/>
          <w:sz w:val="20"/>
        </w:rPr>
        <w:t xml:space="preserve">*City buildings </w:t>
      </w:r>
      <w:r w:rsidRPr="001C4A01">
        <w:rPr>
          <w:bCs/>
          <w:sz w:val="20"/>
          <w:u w:val="single"/>
        </w:rPr>
        <w:t>&gt;</w:t>
      </w:r>
      <w:r>
        <w:rPr>
          <w:i/>
          <w:sz w:val="20"/>
        </w:rPr>
        <w:t xml:space="preserve">5,000 sf must complete lighting upgrades but are not subject to energy assessments or </w:t>
      </w:r>
      <w:proofErr w:type="spellStart"/>
      <w:r>
        <w:rPr>
          <w:i/>
          <w:sz w:val="20"/>
        </w:rPr>
        <w:t>retrocommissioning</w:t>
      </w:r>
      <w:proofErr w:type="spellEnd"/>
      <w:r>
        <w:rPr>
          <w:i/>
          <w:sz w:val="20"/>
        </w:rPr>
        <w:t xml:space="preserve">. </w:t>
      </w:r>
    </w:p>
    <w:p w14:paraId="4D28E64F" w14:textId="77777777" w:rsidR="00920663" w:rsidRPr="008B6F88" w:rsidRDefault="00920663" w:rsidP="00920663">
      <w:pPr>
        <w:keepNext/>
        <w:keepLines/>
        <w:spacing w:before="60"/>
        <w:rPr>
          <w:rFonts w:asciiTheme="majorHAnsi" w:eastAsiaTheme="majorEastAsia" w:hAnsiTheme="majorHAnsi" w:cstheme="majorBidi"/>
          <w:i/>
          <w:color w:val="004C4C" w:themeColor="accent1" w:themeShade="BF"/>
          <w:sz w:val="18"/>
          <w:szCs w:val="20"/>
        </w:rPr>
      </w:pPr>
      <w:r>
        <w:rPr>
          <w:i/>
          <w:sz w:val="20"/>
        </w:rPr>
        <w:t>*</w:t>
      </w:r>
      <w:r w:rsidRPr="008B6F88">
        <w:rPr>
          <w:i/>
          <w:sz w:val="20"/>
        </w:rPr>
        <w:t xml:space="preserve">*Existing buildings that meet the definition of a Large Industrial Campus (three or more buildings, at least partially used for manufacturing, served by a central plant or single utility meter) have </w:t>
      </w:r>
      <w:r w:rsidRPr="00591272">
        <w:rPr>
          <w:i/>
          <w:sz w:val="20"/>
          <w:szCs w:val="20"/>
        </w:rPr>
        <w:t>custom requirements and deadlines</w:t>
      </w:r>
      <w:r w:rsidRPr="008B6F88">
        <w:rPr>
          <w:rStyle w:val="Hyperlink"/>
          <w:sz w:val="20"/>
          <w:szCs w:val="20"/>
        </w:rPr>
        <w:t xml:space="preserve"> </w:t>
      </w:r>
      <w:r w:rsidRPr="008B6F88">
        <w:rPr>
          <w:i/>
          <w:sz w:val="20"/>
        </w:rPr>
        <w:t>due to their unique nature.</w:t>
      </w:r>
    </w:p>
    <w:p w14:paraId="57B16EE0" w14:textId="3518456F" w:rsidR="00C35A30" w:rsidRPr="006559D9" w:rsidRDefault="00920663" w:rsidP="00920663">
      <w:r w:rsidRPr="00C66D22">
        <w:rPr>
          <w:i/>
          <w:sz w:val="20"/>
          <w:szCs w:val="20"/>
        </w:rPr>
        <w:t>*</w:t>
      </w:r>
      <w:r>
        <w:rPr>
          <w:i/>
          <w:sz w:val="20"/>
          <w:szCs w:val="20"/>
        </w:rPr>
        <w:t>*</w:t>
      </w:r>
      <w:r w:rsidRPr="00C66D22">
        <w:rPr>
          <w:i/>
          <w:sz w:val="20"/>
          <w:szCs w:val="20"/>
        </w:rPr>
        <w:t>*Any commercial or industrial building for which an initial building permit was issued on or after January 31, 2014.</w:t>
      </w:r>
    </w:p>
    <w:p w14:paraId="4CF760D7" w14:textId="77777777" w:rsidR="0013120B" w:rsidRDefault="0013120B">
      <w:pPr>
        <w:rPr>
          <w:rFonts w:asciiTheme="majorHAnsi" w:eastAsiaTheme="majorEastAsia" w:hAnsiTheme="majorHAnsi" w:cstheme="majorBidi"/>
          <w:b/>
          <w:color w:val="004C4C" w:themeColor="accent1" w:themeShade="BF"/>
          <w:sz w:val="28"/>
          <w:szCs w:val="32"/>
        </w:rPr>
      </w:pPr>
      <w:bookmarkStart w:id="339" w:name="_Toc445906667"/>
      <w:bookmarkStart w:id="340" w:name="_Toc445906834"/>
      <w:bookmarkStart w:id="341" w:name="_Toc445906990"/>
      <w:bookmarkStart w:id="342" w:name="_Toc445907146"/>
      <w:bookmarkStart w:id="343" w:name="_Toc445907304"/>
      <w:bookmarkStart w:id="344" w:name="_Toc445907460"/>
      <w:bookmarkStart w:id="345" w:name="_Toc445907616"/>
      <w:bookmarkStart w:id="346" w:name="_Toc445907772"/>
      <w:bookmarkStart w:id="347" w:name="_Toc445907928"/>
      <w:bookmarkStart w:id="348" w:name="_Toc445462099"/>
      <w:bookmarkStart w:id="349" w:name="_Toc445462762"/>
      <w:bookmarkStart w:id="350" w:name="_Toc445462966"/>
      <w:bookmarkEnd w:id="339"/>
      <w:bookmarkEnd w:id="340"/>
      <w:bookmarkEnd w:id="341"/>
      <w:bookmarkEnd w:id="342"/>
      <w:bookmarkEnd w:id="343"/>
      <w:bookmarkEnd w:id="344"/>
      <w:bookmarkEnd w:id="345"/>
      <w:bookmarkEnd w:id="346"/>
      <w:bookmarkEnd w:id="347"/>
      <w:r>
        <w:rPr>
          <w:b/>
          <w:sz w:val="28"/>
        </w:rPr>
        <w:br w:type="page"/>
      </w:r>
    </w:p>
    <w:p w14:paraId="494AED4C" w14:textId="141570F0" w:rsidR="00C66D22" w:rsidRPr="002116FC" w:rsidRDefault="0003491F" w:rsidP="00592052">
      <w:pPr>
        <w:pStyle w:val="Heading1"/>
        <w:numPr>
          <w:ilvl w:val="0"/>
          <w:numId w:val="50"/>
        </w:numPr>
        <w:rPr>
          <w:b/>
        </w:rPr>
      </w:pPr>
      <w:bookmarkStart w:id="351" w:name="_Toc530563756"/>
      <w:r w:rsidRPr="002116FC">
        <w:rPr>
          <w:b/>
        </w:rPr>
        <w:lastRenderedPageBreak/>
        <w:t xml:space="preserve">Energy Assessments and </w:t>
      </w:r>
      <w:proofErr w:type="spellStart"/>
      <w:r w:rsidRPr="002116FC">
        <w:rPr>
          <w:b/>
        </w:rPr>
        <w:t>Retrocommissioning</w:t>
      </w:r>
      <w:bookmarkEnd w:id="351"/>
      <w:proofErr w:type="spellEnd"/>
    </w:p>
    <w:p w14:paraId="5A7E6A9A" w14:textId="4E2909B8" w:rsidR="001D792C" w:rsidRDefault="006578D0" w:rsidP="00417961">
      <w:r>
        <w:t xml:space="preserve">This section provides information on the implementation of the energy assessment and </w:t>
      </w:r>
      <w:proofErr w:type="spellStart"/>
      <w:r>
        <w:t>retrocommissioning</w:t>
      </w:r>
      <w:proofErr w:type="spellEnd"/>
      <w:r>
        <w:t xml:space="preserve"> </w:t>
      </w:r>
      <w:r w:rsidR="001D792C">
        <w:t>requirements</w:t>
      </w:r>
      <w:r>
        <w:t xml:space="preserve"> of the ordinance. </w:t>
      </w:r>
      <w:r w:rsidR="005E4DDE">
        <w:t xml:space="preserve">Compliance </w:t>
      </w:r>
      <w:r>
        <w:t>checklist</w:t>
      </w:r>
      <w:r w:rsidR="005E4DDE">
        <w:t xml:space="preserve">s are available online at </w:t>
      </w:r>
      <w:hyperlink r:id="rId14" w:anchor="section-1822" w:history="1">
        <w:r w:rsidR="00711F27" w:rsidRPr="00966349">
          <w:rPr>
            <w:rStyle w:val="Hyperlink"/>
          </w:rPr>
          <w:t>https://bouldercolorado.gov/services/building-performance-ordinance#section-1822</w:t>
        </w:r>
      </w:hyperlink>
      <w:r w:rsidR="00711F27">
        <w:t xml:space="preserve"> </w:t>
      </w:r>
      <w:r w:rsidR="00EE42C6">
        <w:t xml:space="preserve"> </w:t>
      </w:r>
      <w:r w:rsidR="005E4DDE">
        <w:t>and</w:t>
      </w:r>
      <w:r>
        <w:t xml:space="preserve"> </w:t>
      </w:r>
      <w:r w:rsidR="000B3DFA">
        <w:t>should be used by</w:t>
      </w:r>
      <w:r>
        <w:t xml:space="preserve"> affected building owners </w:t>
      </w:r>
      <w:r w:rsidR="000B3DFA">
        <w:t xml:space="preserve">to </w:t>
      </w:r>
      <w:r>
        <w:t>ensure compliance with these requirements.</w:t>
      </w:r>
      <w:bookmarkStart w:id="352" w:name="_Toc445906691"/>
      <w:bookmarkStart w:id="353" w:name="_Toc445906849"/>
      <w:bookmarkStart w:id="354" w:name="_Toc445907005"/>
      <w:bookmarkStart w:id="355" w:name="_Toc445907161"/>
      <w:bookmarkStart w:id="356" w:name="_Toc445907319"/>
      <w:bookmarkStart w:id="357" w:name="_Toc445907475"/>
      <w:bookmarkStart w:id="358" w:name="_Toc445907631"/>
      <w:bookmarkStart w:id="359" w:name="_Toc445907787"/>
      <w:bookmarkStart w:id="360" w:name="_Toc445907943"/>
      <w:bookmarkStart w:id="361" w:name="_Toc445906718"/>
      <w:bookmarkStart w:id="362" w:name="_Toc445906876"/>
      <w:bookmarkStart w:id="363" w:name="_Toc445907032"/>
      <w:bookmarkStart w:id="364" w:name="_Toc445907188"/>
      <w:bookmarkStart w:id="365" w:name="_Toc445907346"/>
      <w:bookmarkStart w:id="366" w:name="_Toc445907502"/>
      <w:bookmarkStart w:id="367" w:name="_Toc445907658"/>
      <w:bookmarkStart w:id="368" w:name="_Toc445907814"/>
      <w:bookmarkStart w:id="369" w:name="_Toc445907970"/>
      <w:bookmarkStart w:id="370" w:name="_Toc445906723"/>
      <w:bookmarkStart w:id="371" w:name="_Toc445906881"/>
      <w:bookmarkStart w:id="372" w:name="_Toc445907037"/>
      <w:bookmarkStart w:id="373" w:name="_Toc445907193"/>
      <w:bookmarkStart w:id="374" w:name="_Toc445907351"/>
      <w:bookmarkStart w:id="375" w:name="_Toc445907507"/>
      <w:bookmarkStart w:id="376" w:name="_Toc445907663"/>
      <w:bookmarkStart w:id="377" w:name="_Toc445907819"/>
      <w:bookmarkStart w:id="378" w:name="_Toc445907975"/>
      <w:bookmarkStart w:id="379" w:name="_Toc445462102"/>
      <w:bookmarkStart w:id="380" w:name="_Toc445462969"/>
      <w:bookmarkStart w:id="381" w:name="_Ref445970717"/>
      <w:bookmarkStart w:id="382" w:name="_Toc430955067"/>
      <w:bookmarkStart w:id="383" w:name="_Ref431538684"/>
      <w:bookmarkEnd w:id="348"/>
      <w:bookmarkEnd w:id="349"/>
      <w:bookmarkEnd w:id="350"/>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0691DA33" w14:textId="41238731" w:rsidR="002116FC" w:rsidRDefault="00C37BAB" w:rsidP="002116FC">
      <w:pPr>
        <w:pStyle w:val="Heading2"/>
        <w:numPr>
          <w:ilvl w:val="1"/>
          <w:numId w:val="50"/>
        </w:numPr>
      </w:pPr>
      <w:bookmarkStart w:id="384" w:name="_Toc530563757"/>
      <w:r w:rsidRPr="00C844A7">
        <w:t xml:space="preserve">Energy Assessment </w:t>
      </w:r>
      <w:r w:rsidR="002116FC">
        <w:t>Scope and Report</w:t>
      </w:r>
      <w:bookmarkEnd w:id="384"/>
    </w:p>
    <w:p w14:paraId="47A398C1" w14:textId="708372E6" w:rsidR="005E4DDE" w:rsidRDefault="005E4DDE" w:rsidP="005E4DDE">
      <w:r>
        <w:t xml:space="preserve">Affected building owners are required to complete energy assessments beginning 3 years following their first R&amp;R deadline and every 10 years after. The energy assessment must meet or exceed the ASHRAE requirements as listed in </w:t>
      </w:r>
      <w:hyperlink r:id="rId15" w:history="1">
        <w:r w:rsidRPr="00417961">
          <w:rPr>
            <w:rStyle w:val="Hyperlink"/>
          </w:rPr>
          <w:t>Standard 211</w:t>
        </w:r>
      </w:hyperlink>
      <w:r>
        <w:t xml:space="preserve"> published by the American Society of Heating, Refrigerating, and Air-Conditioning Engineers (ASHRAE) in 2018. </w:t>
      </w:r>
    </w:p>
    <w:p w14:paraId="7DDBE6A0" w14:textId="48F8C757" w:rsidR="00490F81" w:rsidRDefault="00E050C0" w:rsidP="00490F81">
      <w:pPr>
        <w:pStyle w:val="Heading3"/>
      </w:pPr>
      <w:r>
        <w:t xml:space="preserve">Energy Assessment </w:t>
      </w:r>
      <w:r w:rsidR="00490F81">
        <w:t>Scope</w:t>
      </w:r>
    </w:p>
    <w:p w14:paraId="6A280A63" w14:textId="77777777" w:rsidR="00D3465F" w:rsidRDefault="006B34AC" w:rsidP="00D3465F">
      <w:r>
        <w:t>The scope of the energy assessment required depends on the size of the building as shown in the table below</w:t>
      </w:r>
      <w:r w:rsidR="004D732B">
        <w:t>.</w:t>
      </w:r>
    </w:p>
    <w:tbl>
      <w:tblPr>
        <w:tblStyle w:val="TableGrid"/>
        <w:tblW w:w="7299" w:type="dxa"/>
        <w:jc w:val="center"/>
        <w:tblBorders>
          <w:top w:val="single" w:sz="4" w:space="0" w:color="006666" w:themeColor="accent3"/>
          <w:left w:val="single" w:sz="4" w:space="0" w:color="006666" w:themeColor="accent3"/>
          <w:bottom w:val="single" w:sz="4" w:space="0" w:color="006666" w:themeColor="accent3"/>
          <w:right w:val="single" w:sz="4" w:space="0" w:color="006666" w:themeColor="accent3"/>
          <w:insideH w:val="single" w:sz="4" w:space="0" w:color="006666" w:themeColor="accent3"/>
          <w:insideV w:val="single" w:sz="4" w:space="0" w:color="006666" w:themeColor="accent3"/>
        </w:tblBorders>
        <w:tblLook w:val="04A0" w:firstRow="1" w:lastRow="0" w:firstColumn="1" w:lastColumn="0" w:noHBand="0" w:noVBand="1"/>
      </w:tblPr>
      <w:tblGrid>
        <w:gridCol w:w="2390"/>
        <w:gridCol w:w="4909"/>
      </w:tblGrid>
      <w:tr w:rsidR="00417961" w14:paraId="0AF3D307" w14:textId="77777777" w:rsidTr="00417961">
        <w:trPr>
          <w:trHeight w:val="264"/>
          <w:jc w:val="center"/>
        </w:trPr>
        <w:tc>
          <w:tcPr>
            <w:tcW w:w="2390" w:type="dxa"/>
            <w:shd w:val="clear" w:color="auto" w:fill="008080"/>
          </w:tcPr>
          <w:p w14:paraId="1D2375D9" w14:textId="77777777" w:rsidR="00D3465F" w:rsidRPr="00136B67" w:rsidRDefault="00D3465F" w:rsidP="00D3465F">
            <w:pPr>
              <w:keepNext/>
              <w:keepLines/>
              <w:rPr>
                <w:rStyle w:val="Emphasis"/>
                <w:b/>
                <w:i w:val="0"/>
                <w:color w:val="FFFFFF" w:themeColor="background1"/>
                <w:sz w:val="20"/>
                <w:szCs w:val="20"/>
              </w:rPr>
            </w:pPr>
            <w:r w:rsidRPr="00136B67">
              <w:rPr>
                <w:rStyle w:val="Emphasis"/>
                <w:b/>
                <w:i w:val="0"/>
                <w:color w:val="FFFFFF" w:themeColor="background1"/>
                <w:sz w:val="20"/>
                <w:szCs w:val="20"/>
              </w:rPr>
              <w:t>Affected Building</w:t>
            </w:r>
            <w:r>
              <w:rPr>
                <w:rStyle w:val="Emphasis"/>
                <w:b/>
                <w:i w:val="0"/>
                <w:color w:val="FFFFFF" w:themeColor="background1"/>
                <w:sz w:val="20"/>
                <w:szCs w:val="20"/>
              </w:rPr>
              <w:t xml:space="preserve"> Size</w:t>
            </w:r>
          </w:p>
        </w:tc>
        <w:tc>
          <w:tcPr>
            <w:tcW w:w="4909" w:type="dxa"/>
            <w:shd w:val="clear" w:color="auto" w:fill="008080"/>
          </w:tcPr>
          <w:p w14:paraId="746CBF4D" w14:textId="77777777" w:rsidR="00D3465F" w:rsidRPr="00136B67" w:rsidRDefault="00D3465F" w:rsidP="00D3465F">
            <w:pPr>
              <w:keepNext/>
              <w:keepLines/>
              <w:rPr>
                <w:rStyle w:val="Emphasis"/>
                <w:b/>
                <w:i w:val="0"/>
                <w:color w:val="FFFFFF" w:themeColor="background1"/>
                <w:sz w:val="20"/>
                <w:szCs w:val="20"/>
              </w:rPr>
            </w:pPr>
            <w:r>
              <w:rPr>
                <w:rStyle w:val="Emphasis"/>
                <w:b/>
                <w:i w:val="0"/>
                <w:color w:val="FFFFFF" w:themeColor="background1"/>
                <w:sz w:val="20"/>
                <w:szCs w:val="20"/>
              </w:rPr>
              <w:t>Level of Assessment</w:t>
            </w:r>
          </w:p>
        </w:tc>
      </w:tr>
      <w:tr w:rsidR="00417961" w14:paraId="27591010" w14:textId="77777777" w:rsidTr="008D64B0">
        <w:trPr>
          <w:trHeight w:val="491"/>
          <w:jc w:val="center"/>
        </w:trPr>
        <w:tc>
          <w:tcPr>
            <w:tcW w:w="2390" w:type="dxa"/>
            <w:vAlign w:val="center"/>
          </w:tcPr>
          <w:p w14:paraId="46F3764E" w14:textId="77777777" w:rsidR="00D3465F" w:rsidRPr="004D2E64" w:rsidRDefault="00466229" w:rsidP="00D3465F">
            <w:pPr>
              <w:keepNext/>
              <w:keepLines/>
              <w:rPr>
                <w:sz w:val="20"/>
              </w:rPr>
            </w:pPr>
            <w:r>
              <w:rPr>
                <w:bCs/>
                <w:sz w:val="20"/>
              </w:rPr>
              <w:t>B</w:t>
            </w:r>
            <w:r w:rsidR="00D3465F" w:rsidRPr="004D2E64">
              <w:rPr>
                <w:bCs/>
                <w:sz w:val="20"/>
              </w:rPr>
              <w:t xml:space="preserve">uildings </w:t>
            </w:r>
            <w:r w:rsidR="00D3465F" w:rsidRPr="00630F3D">
              <w:rPr>
                <w:bCs/>
                <w:sz w:val="20"/>
              </w:rPr>
              <w:t>&lt;</w:t>
            </w:r>
            <w:r w:rsidR="00D3465F" w:rsidRPr="004D2E64">
              <w:rPr>
                <w:bCs/>
                <w:sz w:val="20"/>
              </w:rPr>
              <w:t xml:space="preserve"> </w:t>
            </w:r>
            <w:r w:rsidR="00D3465F">
              <w:rPr>
                <w:bCs/>
                <w:sz w:val="20"/>
              </w:rPr>
              <w:t>50</w:t>
            </w:r>
            <w:r w:rsidR="00D3465F" w:rsidRPr="004D2E64">
              <w:rPr>
                <w:bCs/>
                <w:sz w:val="20"/>
              </w:rPr>
              <w:t>,000</w:t>
            </w:r>
            <w:r w:rsidR="00D3465F">
              <w:rPr>
                <w:bCs/>
                <w:sz w:val="20"/>
              </w:rPr>
              <w:t xml:space="preserve"> sf</w:t>
            </w:r>
          </w:p>
        </w:tc>
        <w:tc>
          <w:tcPr>
            <w:tcW w:w="4909" w:type="dxa"/>
            <w:shd w:val="clear" w:color="auto" w:fill="auto"/>
            <w:vAlign w:val="center"/>
          </w:tcPr>
          <w:p w14:paraId="050E621C" w14:textId="77777777" w:rsidR="00D3465F" w:rsidRDefault="00D3465F" w:rsidP="00D3465F">
            <w:pPr>
              <w:keepNext/>
              <w:keepLines/>
              <w:rPr>
                <w:b/>
                <w:sz w:val="20"/>
              </w:rPr>
            </w:pPr>
            <w:r>
              <w:rPr>
                <w:b/>
                <w:sz w:val="20"/>
              </w:rPr>
              <w:t>ASHRAE Level I Energy Assessment</w:t>
            </w:r>
          </w:p>
          <w:p w14:paraId="13D6827F" w14:textId="5694FB94" w:rsidR="00417961" w:rsidRPr="004D2E64" w:rsidRDefault="00417961" w:rsidP="00D3465F">
            <w:pPr>
              <w:keepNext/>
              <w:keepLines/>
              <w:rPr>
                <w:sz w:val="20"/>
              </w:rPr>
            </w:pPr>
            <w:r>
              <w:rPr>
                <w:sz w:val="20"/>
              </w:rPr>
              <w:t>Can be met through participation i</w:t>
            </w:r>
            <w:r w:rsidR="008D64B0">
              <w:rPr>
                <w:sz w:val="20"/>
              </w:rPr>
              <w:t xml:space="preserve">n </w:t>
            </w:r>
            <w:hyperlink r:id="rId16" w:history="1">
              <w:r w:rsidR="008D64B0" w:rsidRPr="008D64B0">
                <w:rPr>
                  <w:rStyle w:val="Hyperlink"/>
                  <w:sz w:val="20"/>
                </w:rPr>
                <w:t xml:space="preserve">Xcel Energy’s Business </w:t>
              </w:r>
              <w:r w:rsidR="009679A5">
                <w:rPr>
                  <w:rStyle w:val="Hyperlink"/>
                  <w:sz w:val="20"/>
                </w:rPr>
                <w:t xml:space="preserve">Energy </w:t>
              </w:r>
              <w:r w:rsidR="008D64B0" w:rsidRPr="008D64B0">
                <w:rPr>
                  <w:rStyle w:val="Hyperlink"/>
                  <w:sz w:val="20"/>
                </w:rPr>
                <w:t>Assessment</w:t>
              </w:r>
            </w:hyperlink>
            <w:r w:rsidR="008D64B0">
              <w:rPr>
                <w:sz w:val="20"/>
              </w:rPr>
              <w:t xml:space="preserve"> </w:t>
            </w:r>
            <w:r>
              <w:rPr>
                <w:sz w:val="20"/>
              </w:rPr>
              <w:t>Program</w:t>
            </w:r>
          </w:p>
        </w:tc>
      </w:tr>
      <w:tr w:rsidR="00417961" w14:paraId="736E473E" w14:textId="77777777" w:rsidTr="008D64B0">
        <w:trPr>
          <w:trHeight w:val="516"/>
          <w:jc w:val="center"/>
        </w:trPr>
        <w:tc>
          <w:tcPr>
            <w:tcW w:w="2390" w:type="dxa"/>
            <w:vAlign w:val="center"/>
          </w:tcPr>
          <w:p w14:paraId="1ECA0C0F" w14:textId="77777777" w:rsidR="00D3465F" w:rsidRPr="004D2E64" w:rsidRDefault="00466229" w:rsidP="00D3465F">
            <w:pPr>
              <w:keepNext/>
              <w:keepLines/>
              <w:rPr>
                <w:bCs/>
                <w:sz w:val="20"/>
                <w:szCs w:val="20"/>
              </w:rPr>
            </w:pPr>
            <w:r>
              <w:rPr>
                <w:bCs/>
                <w:sz w:val="20"/>
                <w:szCs w:val="20"/>
              </w:rPr>
              <w:t>B</w:t>
            </w:r>
            <w:r w:rsidR="00D3465F">
              <w:rPr>
                <w:bCs/>
                <w:sz w:val="20"/>
                <w:szCs w:val="20"/>
              </w:rPr>
              <w:t>uildings</w:t>
            </w:r>
            <w:r w:rsidR="00D3465F" w:rsidRPr="004D2E64">
              <w:rPr>
                <w:bCs/>
                <w:sz w:val="20"/>
                <w:szCs w:val="20"/>
              </w:rPr>
              <w:t xml:space="preserve"> </w:t>
            </w:r>
            <w:r w:rsidR="00D3465F" w:rsidRPr="00AB0771">
              <w:rPr>
                <w:bCs/>
                <w:sz w:val="20"/>
                <w:szCs w:val="20"/>
                <w:u w:val="single"/>
              </w:rPr>
              <w:t>&gt;</w:t>
            </w:r>
            <w:r w:rsidR="00D3465F">
              <w:rPr>
                <w:bCs/>
                <w:sz w:val="20"/>
                <w:szCs w:val="20"/>
              </w:rPr>
              <w:t xml:space="preserve"> 50,000 sf</w:t>
            </w:r>
          </w:p>
        </w:tc>
        <w:tc>
          <w:tcPr>
            <w:tcW w:w="4909" w:type="dxa"/>
            <w:shd w:val="clear" w:color="auto" w:fill="auto"/>
            <w:vAlign w:val="center"/>
          </w:tcPr>
          <w:p w14:paraId="483D518C" w14:textId="77777777" w:rsidR="00D3465F" w:rsidRPr="004D2E64" w:rsidRDefault="00D3465F" w:rsidP="00D3465F">
            <w:pPr>
              <w:keepNext/>
              <w:keepLines/>
              <w:rPr>
                <w:sz w:val="20"/>
              </w:rPr>
            </w:pPr>
            <w:r>
              <w:rPr>
                <w:b/>
                <w:sz w:val="20"/>
              </w:rPr>
              <w:t>ASHRAE Level II Energy Assessment</w:t>
            </w:r>
          </w:p>
        </w:tc>
      </w:tr>
    </w:tbl>
    <w:p w14:paraId="68AFF820" w14:textId="77777777" w:rsidR="00417961" w:rsidRDefault="00417961" w:rsidP="00D3465F"/>
    <w:p w14:paraId="41CEE553" w14:textId="77777777" w:rsidR="00FA0918" w:rsidRDefault="00D3465F" w:rsidP="00D3465F">
      <w:r>
        <w:t xml:space="preserve">A Level I energy assessment is a </w:t>
      </w:r>
      <w:r w:rsidR="00417961">
        <w:t>h</w:t>
      </w:r>
      <w:r w:rsidR="00417961" w:rsidRPr="00C84251">
        <w:t>igh-level</w:t>
      </w:r>
      <w:r w:rsidRPr="00C84251">
        <w:t xml:space="preserve"> sweep for no-cost/low-cost energy saving opportunities</w:t>
      </w:r>
      <w:r>
        <w:t>. Acti</w:t>
      </w:r>
      <w:r w:rsidRPr="00C84251">
        <w:t>vities include an assessment of energy bills and a brief site inspection of the building.</w:t>
      </w:r>
      <w:r>
        <w:t xml:space="preserve"> </w:t>
      </w:r>
      <w:r w:rsidR="00FA0918">
        <w:t>Xcel Energy currently offers a program that meets these requirements.</w:t>
      </w:r>
      <w:r w:rsidR="00C844A7">
        <w:rPr>
          <w:rStyle w:val="FootnoteReference"/>
        </w:rPr>
        <w:footnoteReference w:id="3"/>
      </w:r>
      <w:r w:rsidR="00FA0918">
        <w:t xml:space="preserve"> </w:t>
      </w:r>
    </w:p>
    <w:p w14:paraId="39408B1A" w14:textId="6B5CFA1F" w:rsidR="00D3465F" w:rsidRDefault="00D3465F" w:rsidP="00D3465F">
      <w:r>
        <w:t>A Leve</w:t>
      </w:r>
      <w:r w:rsidR="004D732B">
        <w:t>l II energy assessment identifies</w:t>
      </w:r>
      <w:r>
        <w:t xml:space="preserve"> </w:t>
      </w:r>
      <w:r w:rsidRPr="00C84251">
        <w:t>t</w:t>
      </w:r>
      <w:r w:rsidR="007348C9">
        <w:t xml:space="preserve">he </w:t>
      </w:r>
      <w:r w:rsidR="004D732B" w:rsidRPr="00C84251">
        <w:t xml:space="preserve">no-cost/low-cost </w:t>
      </w:r>
      <w:r>
        <w:t xml:space="preserve">opportunities, and also </w:t>
      </w:r>
      <w:r w:rsidRPr="00C84251">
        <w:rPr>
          <w:lang w:bidi="en-US"/>
        </w:rPr>
        <w:t xml:space="preserve">includes an in-depth analysis of energy costs, energy usage and building characteristics </w:t>
      </w:r>
      <w:r>
        <w:rPr>
          <w:lang w:bidi="en-US"/>
        </w:rPr>
        <w:t>as well as</w:t>
      </w:r>
      <w:r w:rsidRPr="00C84251">
        <w:rPr>
          <w:lang w:bidi="en-US"/>
        </w:rPr>
        <w:t xml:space="preserve"> a more refined survey of how energy is used in the building</w:t>
      </w:r>
      <w:r>
        <w:rPr>
          <w:lang w:bidi="en-US"/>
        </w:rPr>
        <w:t xml:space="preserve">. </w:t>
      </w:r>
      <w:r w:rsidRPr="00C84251">
        <w:t>Owners are provided</w:t>
      </w:r>
      <w:r>
        <w:t xml:space="preserve"> enough detail from a Level II energy assessment </w:t>
      </w:r>
      <w:r w:rsidRPr="00C84251">
        <w:t xml:space="preserve">to get a </w:t>
      </w:r>
      <w:r w:rsidRPr="00CC2D50">
        <w:t>quote from contractors for specific upgrades and activities to implement following the assessment.</w:t>
      </w:r>
      <w:r w:rsidR="00C844A7">
        <w:rPr>
          <w:rStyle w:val="FootnoteReference"/>
        </w:rPr>
        <w:footnoteReference w:id="4"/>
      </w:r>
      <w:r w:rsidRPr="00CC2D50">
        <w:t xml:space="preserve"> </w:t>
      </w:r>
      <w:r w:rsidR="00E050C0">
        <w:t xml:space="preserve">Note: Xcel Energy’s program does NOT meet the scope of a Level II assessment. </w:t>
      </w:r>
    </w:p>
    <w:p w14:paraId="7C253823" w14:textId="582BB131" w:rsidR="00C844A7" w:rsidRDefault="00C844A7" w:rsidP="00C844A7">
      <w:r>
        <w:rPr>
          <w:szCs w:val="24"/>
        </w:rPr>
        <w:t xml:space="preserve">All energy assessments for compliance </w:t>
      </w:r>
      <w:r>
        <w:t>must be conducted by a professional energy assessment firm that is listed on the City</w:t>
      </w:r>
      <w:r w:rsidRPr="00603B36">
        <w:t xml:space="preserve"> of Boulder’s </w:t>
      </w:r>
      <w:hyperlink r:id="rId17" w:history="1">
        <w:r w:rsidRPr="00A5420D">
          <w:rPr>
            <w:rStyle w:val="Hyperlink"/>
          </w:rPr>
          <w:t>qualified service provider list</w:t>
        </w:r>
      </w:hyperlink>
      <w:r w:rsidRPr="00603B36">
        <w:t>.</w:t>
      </w:r>
      <w:r>
        <w:t xml:space="preserve"> </w:t>
      </w:r>
    </w:p>
    <w:p w14:paraId="6E8A9CB0" w14:textId="77777777" w:rsidR="00E050C0" w:rsidRDefault="00E050C0" w:rsidP="002116FC">
      <w:pPr>
        <w:pStyle w:val="Heading3"/>
        <w:rPr>
          <w:b/>
        </w:rPr>
      </w:pPr>
      <w:bookmarkStart w:id="385" w:name="_Ref485887170"/>
    </w:p>
    <w:p w14:paraId="60F76E27" w14:textId="4F61B962" w:rsidR="00C37BAB" w:rsidRPr="00E050C0" w:rsidRDefault="00E050C0" w:rsidP="002116FC">
      <w:pPr>
        <w:pStyle w:val="Heading3"/>
      </w:pPr>
      <w:r>
        <w:t xml:space="preserve">Energy Assessment </w:t>
      </w:r>
      <w:r w:rsidR="00C37BAB" w:rsidRPr="00E050C0">
        <w:t>Report</w:t>
      </w:r>
      <w:bookmarkEnd w:id="385"/>
      <w:r w:rsidR="00C37BAB" w:rsidRPr="00E050C0">
        <w:t xml:space="preserve"> </w:t>
      </w:r>
    </w:p>
    <w:p w14:paraId="0F49CA67" w14:textId="77777777" w:rsidR="00C844A7" w:rsidRPr="00C844A7" w:rsidRDefault="00C844A7" w:rsidP="00C844A7">
      <w:pPr>
        <w:pStyle w:val="Heading4"/>
      </w:pPr>
      <w:r w:rsidRPr="00C844A7">
        <w:t>Level I Energy Assessment Report</w:t>
      </w:r>
    </w:p>
    <w:p w14:paraId="1CE68B0A" w14:textId="366CC228" w:rsidR="00E502B3" w:rsidRDefault="00E502B3" w:rsidP="00E502B3">
      <w:r>
        <w:t xml:space="preserve">The Level </w:t>
      </w:r>
      <w:r w:rsidR="00A3102C">
        <w:t>I</w:t>
      </w:r>
      <w:r>
        <w:t xml:space="preserve"> energy assessment report must include everything required by ASHRAE guidelines, as well as</w:t>
      </w:r>
      <w:r w:rsidR="00C35A30">
        <w:t xml:space="preserve"> a summary of available rebates and incentives, a recommendation on RCx benefits, and a statement of </w:t>
      </w:r>
      <w:r w:rsidR="00C35A30">
        <w:lastRenderedPageBreak/>
        <w:t>whether the building’s lig</w:t>
      </w:r>
      <w:r w:rsidR="004D732B">
        <w:t>hting systems and controls meet</w:t>
      </w:r>
      <w:r w:rsidR="00C35A30">
        <w:t xml:space="preserve"> each lighting requirement in the Building Performance Ordinance.</w:t>
      </w:r>
      <w:r w:rsidR="003E37BF" w:rsidRPr="003E37BF">
        <w:t xml:space="preserve"> </w:t>
      </w:r>
      <w:r w:rsidR="003E37BF">
        <w:t xml:space="preserve">See </w:t>
      </w:r>
      <w:r w:rsidR="003E37BF" w:rsidRPr="00DD58B8">
        <w:t>the</w:t>
      </w:r>
      <w:r w:rsidR="003E37BF">
        <w:rPr>
          <w:b/>
          <w:color w:val="FF9900" w:themeColor="text1"/>
        </w:rPr>
        <w:t xml:space="preserve"> </w:t>
      </w:r>
      <w:r w:rsidR="003E37BF">
        <w:t xml:space="preserve">Level I energy assessment report template on the </w:t>
      </w:r>
      <w:hyperlink r:id="rId18" w:anchor="section-1822" w:history="1">
        <w:r w:rsidR="003E37BF" w:rsidRPr="00A101AD">
          <w:rPr>
            <w:rStyle w:val="Hyperlink"/>
          </w:rPr>
          <w:t>website</w:t>
        </w:r>
      </w:hyperlink>
      <w:r w:rsidR="003E37BF">
        <w:t xml:space="preserve"> under “Energy Assessments” for guidance.</w:t>
      </w:r>
      <w:r w:rsidR="00C844A7">
        <w:t xml:space="preserve"> </w:t>
      </w:r>
    </w:p>
    <w:p w14:paraId="5370CC42" w14:textId="795C66D3" w:rsidR="00A6232A" w:rsidRDefault="00A6232A" w:rsidP="00E502B3">
      <w:r w:rsidRPr="00A6232A">
        <w:t xml:space="preserve">If the </w:t>
      </w:r>
      <w:r>
        <w:t>energy assessment</w:t>
      </w:r>
      <w:r w:rsidRPr="00A6232A">
        <w:t xml:space="preserve"> is conducted through a local energy utility program,</w:t>
      </w:r>
      <w:r w:rsidR="00E050C0">
        <w:t xml:space="preserve"> such as Xcel Energy’s Onsite Energy Audit program,</w:t>
      </w:r>
      <w:r w:rsidRPr="00A6232A">
        <w:t xml:space="preserve"> the report produced for that program will satisfy the requirements of the ordinance. </w:t>
      </w:r>
    </w:p>
    <w:p w14:paraId="2958E0B6" w14:textId="77777777" w:rsidR="00C844A7" w:rsidRDefault="00C844A7" w:rsidP="00C844A7">
      <w:pPr>
        <w:pStyle w:val="Heading4"/>
      </w:pPr>
      <w:r>
        <w:t>Level II Energy Assessment Report</w:t>
      </w:r>
    </w:p>
    <w:p w14:paraId="51B16CB3" w14:textId="181B9D69" w:rsidR="00A3102C" w:rsidRDefault="00A3102C" w:rsidP="00D3465F">
      <w:r>
        <w:t xml:space="preserve">The </w:t>
      </w:r>
      <w:r w:rsidR="00E502B3">
        <w:t xml:space="preserve">Level II </w:t>
      </w:r>
      <w:r>
        <w:t>e</w:t>
      </w:r>
      <w:r w:rsidR="00E502B3">
        <w:t xml:space="preserve">nergy </w:t>
      </w:r>
      <w:r>
        <w:t xml:space="preserve">assessment report must </w:t>
      </w:r>
      <w:r w:rsidR="001C5C7E">
        <w:t>include everything required by ASHRAE guidelines</w:t>
      </w:r>
      <w:r w:rsidR="00C844A7">
        <w:t xml:space="preserve">. </w:t>
      </w:r>
      <w:r w:rsidR="00DD58B8">
        <w:t>The Level II energy assessment report template for the City of Boulder is based upon the ASHRAE Processes for Commercial Building Energy Audits 2011,</w:t>
      </w:r>
      <w:r w:rsidR="00DD58B8">
        <w:rPr>
          <w:rStyle w:val="FootnoteReference"/>
        </w:rPr>
        <w:footnoteReference w:id="5"/>
      </w:r>
      <w:r w:rsidR="00DD58B8">
        <w:t xml:space="preserve"> and the Investor Confidence Project’s Energy Performance Protocol for Standard and Large Commercial Energy Audits.</w:t>
      </w:r>
      <w:r w:rsidR="00DD58B8">
        <w:rPr>
          <w:rStyle w:val="FootnoteReference"/>
        </w:rPr>
        <w:footnoteReference w:id="6"/>
      </w:r>
      <w:r w:rsidR="00DD58B8">
        <w:t xml:space="preserve"> </w:t>
      </w:r>
      <w:r>
        <w:t xml:space="preserve">See </w:t>
      </w:r>
      <w:r w:rsidR="00DD58B8" w:rsidRPr="00DD58B8">
        <w:t>the</w:t>
      </w:r>
      <w:r w:rsidR="00DD58B8">
        <w:rPr>
          <w:b/>
          <w:color w:val="FF9900" w:themeColor="text1"/>
        </w:rPr>
        <w:t xml:space="preserve"> </w:t>
      </w:r>
      <w:r>
        <w:t>Level II energy assessment report templa</w:t>
      </w:r>
      <w:r w:rsidR="00DD58B8">
        <w:t xml:space="preserve">te on the </w:t>
      </w:r>
      <w:hyperlink r:id="rId19" w:anchor="section-1822" w:history="1">
        <w:r w:rsidR="00DD58B8" w:rsidRPr="00A101AD">
          <w:rPr>
            <w:rStyle w:val="Hyperlink"/>
          </w:rPr>
          <w:t>website</w:t>
        </w:r>
      </w:hyperlink>
      <w:r w:rsidR="00947D3D">
        <w:t xml:space="preserve"> under “Energy Assessments”</w:t>
      </w:r>
      <w:r w:rsidR="00DD58B8">
        <w:t xml:space="preserve"> for guidance. </w:t>
      </w:r>
    </w:p>
    <w:p w14:paraId="1EA3ECEA" w14:textId="4851B831" w:rsidR="00C35A30" w:rsidRDefault="00C37BAB" w:rsidP="002116FC">
      <w:pPr>
        <w:pStyle w:val="Heading2"/>
        <w:numPr>
          <w:ilvl w:val="1"/>
          <w:numId w:val="50"/>
        </w:numPr>
      </w:pPr>
      <w:bookmarkStart w:id="386" w:name="_Toc530563758"/>
      <w:proofErr w:type="spellStart"/>
      <w:r w:rsidRPr="005E4DDE">
        <w:t>Retrocommissioning</w:t>
      </w:r>
      <w:proofErr w:type="spellEnd"/>
      <w:r w:rsidRPr="00C844A7">
        <w:t xml:space="preserve"> </w:t>
      </w:r>
      <w:r w:rsidR="005E4DDE">
        <w:t xml:space="preserve">(RCx) </w:t>
      </w:r>
      <w:r w:rsidRPr="00C844A7">
        <w:t>Scope</w:t>
      </w:r>
      <w:r w:rsidR="002116FC">
        <w:t xml:space="preserve"> and Report</w:t>
      </w:r>
      <w:bookmarkEnd w:id="386"/>
    </w:p>
    <w:p w14:paraId="11C49757" w14:textId="77777777" w:rsidR="005E4DDE" w:rsidRDefault="005E4DDE" w:rsidP="005E4DDE">
      <w:r>
        <w:t xml:space="preserve">Affected building owners are required to perform </w:t>
      </w:r>
      <w:proofErr w:type="spellStart"/>
      <w:r>
        <w:t>retrocommissioning</w:t>
      </w:r>
      <w:proofErr w:type="spellEnd"/>
      <w:r>
        <w:t xml:space="preserve"> beginning 5 years following their first R&amp;R deadline and every 10 years after. Cost-effective measures (with a simple payback of less than or equal to two years) must be implemented within two years of the study. </w:t>
      </w:r>
    </w:p>
    <w:p w14:paraId="3DEE9F46" w14:textId="3F0CA4D4" w:rsidR="005E4DDE" w:rsidRDefault="005E4DDE" w:rsidP="005E4DDE">
      <w:proofErr w:type="spellStart"/>
      <w:r>
        <w:t>Retrocommissioning</w:t>
      </w:r>
      <w:proofErr w:type="spellEnd"/>
      <w:r>
        <w:rPr>
          <w:rStyle w:val="FootnoteReference"/>
        </w:rPr>
        <w:footnoteReference w:id="7"/>
      </w:r>
      <w:r>
        <w:t xml:space="preserve"> is a </w:t>
      </w:r>
      <w:r w:rsidRPr="00114104">
        <w:t>process that improves a building's operations and maintenance procedures to enhance overall building performance</w:t>
      </w:r>
      <w:r>
        <w:t xml:space="preserve"> and i</w:t>
      </w:r>
      <w:r w:rsidRPr="00114104">
        <w:t>s designed to improve the efficiency of existing building operations by “tuning up” and calibrating existing functional systems to run as efficiently as possible through low- or no-cost improvements.</w:t>
      </w:r>
      <w:r>
        <w:t xml:space="preserve"> RCx measures are typically operational in nature and can be implemented without major equipment changes or work.</w:t>
      </w:r>
    </w:p>
    <w:p w14:paraId="631C249E" w14:textId="08E7B335" w:rsidR="00490F81" w:rsidRDefault="00E050C0" w:rsidP="00490F81">
      <w:pPr>
        <w:pStyle w:val="Heading3"/>
      </w:pPr>
      <w:proofErr w:type="spellStart"/>
      <w:r>
        <w:t>Retrocommissioning</w:t>
      </w:r>
      <w:proofErr w:type="spellEnd"/>
      <w:r>
        <w:t xml:space="preserve"> </w:t>
      </w:r>
      <w:r w:rsidR="00490F81" w:rsidRPr="002116FC">
        <w:t>Scope</w:t>
      </w:r>
    </w:p>
    <w:p w14:paraId="066122E4" w14:textId="77777777" w:rsidR="00D3465F" w:rsidRDefault="00D3465F" w:rsidP="00C0653C">
      <w:r>
        <w:t xml:space="preserve">The scope of the </w:t>
      </w:r>
      <w:r w:rsidR="00C0653C">
        <w:t>RCx</w:t>
      </w:r>
      <w:r>
        <w:t xml:space="preserve"> study depend</w:t>
      </w:r>
      <w:r w:rsidR="00C0653C">
        <w:t>s on the size of the building, as shown in the table below.</w:t>
      </w:r>
    </w:p>
    <w:tbl>
      <w:tblPr>
        <w:tblStyle w:val="TableGrid"/>
        <w:tblW w:w="9591" w:type="dxa"/>
        <w:tblLook w:val="04A0" w:firstRow="1" w:lastRow="0" w:firstColumn="1" w:lastColumn="0" w:noHBand="0" w:noVBand="1"/>
      </w:tblPr>
      <w:tblGrid>
        <w:gridCol w:w="2542"/>
        <w:gridCol w:w="7049"/>
      </w:tblGrid>
      <w:tr w:rsidR="00D3465F" w14:paraId="30BFAE44" w14:textId="77777777" w:rsidTr="006B34AC">
        <w:trPr>
          <w:trHeight w:val="293"/>
        </w:trPr>
        <w:tc>
          <w:tcPr>
            <w:tcW w:w="2542" w:type="dxa"/>
            <w:shd w:val="clear" w:color="auto" w:fill="008080"/>
          </w:tcPr>
          <w:p w14:paraId="57842BDD" w14:textId="77777777" w:rsidR="00D3465F" w:rsidRDefault="00D3465F" w:rsidP="00D3465F">
            <w:pPr>
              <w:keepNext/>
              <w:keepLines/>
              <w:rPr>
                <w:rStyle w:val="Emphasis"/>
                <w:b/>
                <w:i w:val="0"/>
                <w:color w:val="FFFFFF" w:themeColor="background1"/>
                <w:sz w:val="20"/>
                <w:szCs w:val="20"/>
              </w:rPr>
            </w:pPr>
            <w:r w:rsidRPr="00136B67">
              <w:rPr>
                <w:rStyle w:val="Emphasis"/>
                <w:b/>
                <w:i w:val="0"/>
                <w:color w:val="FFFFFF" w:themeColor="background1"/>
                <w:sz w:val="20"/>
                <w:szCs w:val="20"/>
              </w:rPr>
              <w:t>Affected Building</w:t>
            </w:r>
            <w:r>
              <w:rPr>
                <w:rStyle w:val="Emphasis"/>
                <w:b/>
                <w:i w:val="0"/>
                <w:color w:val="FFFFFF" w:themeColor="background1"/>
                <w:sz w:val="20"/>
                <w:szCs w:val="20"/>
              </w:rPr>
              <w:t xml:space="preserve"> Size</w:t>
            </w:r>
          </w:p>
        </w:tc>
        <w:tc>
          <w:tcPr>
            <w:tcW w:w="7049" w:type="dxa"/>
            <w:shd w:val="clear" w:color="auto" w:fill="008080"/>
          </w:tcPr>
          <w:p w14:paraId="0493AF7B" w14:textId="77777777" w:rsidR="00D3465F" w:rsidRDefault="00D3465F" w:rsidP="00D3465F">
            <w:pPr>
              <w:keepNext/>
              <w:keepLines/>
              <w:rPr>
                <w:rStyle w:val="Emphasis"/>
                <w:b/>
                <w:i w:val="0"/>
                <w:color w:val="FFFFFF" w:themeColor="background1"/>
                <w:sz w:val="20"/>
                <w:szCs w:val="20"/>
              </w:rPr>
            </w:pPr>
            <w:r>
              <w:rPr>
                <w:rStyle w:val="Emphasis"/>
                <w:b/>
                <w:i w:val="0"/>
                <w:color w:val="FFFFFF" w:themeColor="background1"/>
                <w:sz w:val="20"/>
                <w:szCs w:val="20"/>
              </w:rPr>
              <w:t>Scope of RCx</w:t>
            </w:r>
          </w:p>
        </w:tc>
      </w:tr>
      <w:tr w:rsidR="00D3465F" w14:paraId="1CD1FAC0" w14:textId="77777777" w:rsidTr="006B34AC">
        <w:trPr>
          <w:trHeight w:val="586"/>
        </w:trPr>
        <w:tc>
          <w:tcPr>
            <w:tcW w:w="2542" w:type="dxa"/>
            <w:vAlign w:val="center"/>
          </w:tcPr>
          <w:p w14:paraId="448D4377" w14:textId="77777777" w:rsidR="00D3465F" w:rsidRPr="00B55E7F" w:rsidRDefault="00D3465F" w:rsidP="00D3465F">
            <w:pPr>
              <w:keepNext/>
              <w:keepLines/>
              <w:rPr>
                <w:rStyle w:val="Emphasis"/>
                <w:i w:val="0"/>
                <w:sz w:val="20"/>
                <w:szCs w:val="20"/>
              </w:rPr>
            </w:pPr>
            <w:r w:rsidRPr="00B55E7F">
              <w:rPr>
                <w:rStyle w:val="Emphasis"/>
                <w:i w:val="0"/>
                <w:sz w:val="20"/>
                <w:szCs w:val="20"/>
              </w:rPr>
              <w:t xml:space="preserve">Buildings &lt; 50,000 </w:t>
            </w:r>
            <w:r w:rsidR="00B55E7F" w:rsidRPr="00B55E7F">
              <w:rPr>
                <w:rStyle w:val="Emphasis"/>
                <w:i w:val="0"/>
                <w:sz w:val="20"/>
                <w:szCs w:val="20"/>
              </w:rPr>
              <w:t>sf</w:t>
            </w:r>
          </w:p>
        </w:tc>
        <w:tc>
          <w:tcPr>
            <w:tcW w:w="7049" w:type="dxa"/>
            <w:vAlign w:val="center"/>
          </w:tcPr>
          <w:p w14:paraId="7A62011F" w14:textId="4BE5E432" w:rsidR="00D3465F" w:rsidRPr="008700DC" w:rsidRDefault="00D3465F" w:rsidP="00D3465F">
            <w:pPr>
              <w:keepNext/>
              <w:keepLines/>
              <w:rPr>
                <w:rStyle w:val="Emphasis"/>
                <w:i w:val="0"/>
                <w:sz w:val="20"/>
                <w:szCs w:val="20"/>
              </w:rPr>
            </w:pPr>
            <w:r w:rsidRPr="008700DC">
              <w:rPr>
                <w:rStyle w:val="Emphasis"/>
                <w:i w:val="0"/>
                <w:sz w:val="20"/>
                <w:szCs w:val="20"/>
              </w:rPr>
              <w:t>Participate in</w:t>
            </w:r>
            <w:r w:rsidR="00161F04">
              <w:rPr>
                <w:rStyle w:val="Emphasis"/>
                <w:i w:val="0"/>
                <w:sz w:val="20"/>
                <w:szCs w:val="20"/>
              </w:rPr>
              <w:t xml:space="preserve"> the</w:t>
            </w:r>
            <w:r w:rsidRPr="008700DC">
              <w:rPr>
                <w:rStyle w:val="Emphasis"/>
                <w:i w:val="0"/>
                <w:sz w:val="20"/>
                <w:szCs w:val="20"/>
              </w:rPr>
              <w:t xml:space="preserve"> </w:t>
            </w:r>
            <w:hyperlink r:id="rId20" w:history="1">
              <w:r w:rsidRPr="000D40A6">
                <w:rPr>
                  <w:rStyle w:val="Hyperlink"/>
                  <w:sz w:val="20"/>
                  <w:szCs w:val="20"/>
                </w:rPr>
                <w:t>Xcel Energy Bu</w:t>
              </w:r>
              <w:r w:rsidR="00D8033C" w:rsidRPr="000D40A6">
                <w:rPr>
                  <w:rStyle w:val="Hyperlink"/>
                  <w:sz w:val="20"/>
                  <w:szCs w:val="20"/>
                </w:rPr>
                <w:t>siness Energy Assessment</w:t>
              </w:r>
            </w:hyperlink>
            <w:r w:rsidR="00D8033C">
              <w:rPr>
                <w:sz w:val="20"/>
                <w:szCs w:val="20"/>
              </w:rPr>
              <w:t xml:space="preserve"> program</w:t>
            </w:r>
            <w:r w:rsidR="0053781F">
              <w:rPr>
                <w:rStyle w:val="Hyperlink"/>
                <w:sz w:val="20"/>
                <w:szCs w:val="20"/>
              </w:rPr>
              <w:t>*</w:t>
            </w:r>
            <w:r w:rsidRPr="008700DC">
              <w:rPr>
                <w:sz w:val="20"/>
                <w:szCs w:val="20"/>
              </w:rPr>
              <w:t xml:space="preserve"> or meet the </w:t>
            </w:r>
            <w:hyperlink r:id="rId21" w:history="1">
              <w:r w:rsidRPr="00E96246">
                <w:rPr>
                  <w:rStyle w:val="Hyperlink"/>
                  <w:sz w:val="20"/>
                  <w:szCs w:val="20"/>
                </w:rPr>
                <w:t>scope</w:t>
              </w:r>
            </w:hyperlink>
            <w:r w:rsidRPr="008700DC">
              <w:rPr>
                <w:sz w:val="20"/>
                <w:szCs w:val="20"/>
              </w:rPr>
              <w:t xml:space="preserve"> outlined in the City Manager Rules*</w:t>
            </w:r>
            <w:r w:rsidR="0053781F">
              <w:rPr>
                <w:sz w:val="20"/>
                <w:szCs w:val="20"/>
              </w:rPr>
              <w:t>*</w:t>
            </w:r>
          </w:p>
        </w:tc>
      </w:tr>
      <w:tr w:rsidR="00D3465F" w14:paraId="4094FB0A" w14:textId="77777777" w:rsidTr="006B34AC">
        <w:trPr>
          <w:trHeight w:val="603"/>
        </w:trPr>
        <w:tc>
          <w:tcPr>
            <w:tcW w:w="2542" w:type="dxa"/>
            <w:vAlign w:val="center"/>
          </w:tcPr>
          <w:p w14:paraId="3E8D4E39" w14:textId="77777777" w:rsidR="00D3465F" w:rsidRPr="00B55E7F" w:rsidRDefault="00466229" w:rsidP="00D3465F">
            <w:pPr>
              <w:keepNext/>
              <w:keepLines/>
              <w:rPr>
                <w:rStyle w:val="Emphasis"/>
                <w:i w:val="0"/>
                <w:sz w:val="20"/>
                <w:szCs w:val="20"/>
              </w:rPr>
            </w:pPr>
            <w:r w:rsidRPr="00B55E7F">
              <w:rPr>
                <w:rStyle w:val="Emphasis"/>
                <w:i w:val="0"/>
                <w:sz w:val="20"/>
                <w:szCs w:val="20"/>
              </w:rPr>
              <w:t>B</w:t>
            </w:r>
            <w:r w:rsidR="00D3465F" w:rsidRPr="00B55E7F">
              <w:rPr>
                <w:rStyle w:val="Emphasis"/>
                <w:i w:val="0"/>
                <w:sz w:val="20"/>
                <w:szCs w:val="20"/>
              </w:rPr>
              <w:t xml:space="preserve">uildings </w:t>
            </w:r>
            <w:r w:rsidR="00D3465F" w:rsidRPr="00B55E7F">
              <w:rPr>
                <w:bCs/>
                <w:i/>
                <w:sz w:val="20"/>
                <w:szCs w:val="20"/>
                <w:u w:val="single"/>
              </w:rPr>
              <w:t>&gt;</w:t>
            </w:r>
            <w:r w:rsidR="00D3465F" w:rsidRPr="00B55E7F">
              <w:rPr>
                <w:rStyle w:val="Emphasis"/>
                <w:i w:val="0"/>
                <w:sz w:val="20"/>
                <w:szCs w:val="20"/>
              </w:rPr>
              <w:t xml:space="preserve"> 50,000 </w:t>
            </w:r>
            <w:r w:rsidR="00B55E7F" w:rsidRPr="00B55E7F">
              <w:rPr>
                <w:rStyle w:val="Emphasis"/>
                <w:i w:val="0"/>
                <w:sz w:val="20"/>
                <w:szCs w:val="20"/>
              </w:rPr>
              <w:t>sf</w:t>
            </w:r>
          </w:p>
        </w:tc>
        <w:tc>
          <w:tcPr>
            <w:tcW w:w="7049" w:type="dxa"/>
            <w:vAlign w:val="center"/>
          </w:tcPr>
          <w:p w14:paraId="4DFEBC92" w14:textId="5C280DB6" w:rsidR="00D3465F" w:rsidRPr="008700DC" w:rsidRDefault="00AA6562" w:rsidP="00161F04">
            <w:pPr>
              <w:keepNext/>
              <w:keepLines/>
              <w:rPr>
                <w:rStyle w:val="Emphasis"/>
                <w:i w:val="0"/>
                <w:sz w:val="20"/>
                <w:szCs w:val="20"/>
              </w:rPr>
            </w:pPr>
            <w:r>
              <w:rPr>
                <w:sz w:val="20"/>
                <w:szCs w:val="20"/>
              </w:rPr>
              <w:t>Complete a Retro-commissioning Report</w:t>
            </w:r>
            <w:r w:rsidR="000D40A6">
              <w:rPr>
                <w:sz w:val="20"/>
                <w:szCs w:val="20"/>
              </w:rPr>
              <w:t xml:space="preserve"> with a </w:t>
            </w:r>
            <w:hyperlink r:id="rId22" w:history="1">
              <w:r w:rsidRPr="002F5421">
                <w:rPr>
                  <w:rStyle w:val="Hyperlink"/>
                  <w:sz w:val="20"/>
                  <w:szCs w:val="20"/>
                </w:rPr>
                <w:t>Qualified Service Provider</w:t>
              </w:r>
            </w:hyperlink>
            <w:r>
              <w:rPr>
                <w:sz w:val="20"/>
                <w:szCs w:val="20"/>
              </w:rPr>
              <w:t xml:space="preserve"> and</w:t>
            </w:r>
            <w:r w:rsidR="00D3465F" w:rsidRPr="008700DC">
              <w:rPr>
                <w:sz w:val="20"/>
                <w:szCs w:val="20"/>
              </w:rPr>
              <w:t xml:space="preserve"> meet the</w:t>
            </w:r>
            <w:r>
              <w:rPr>
                <w:sz w:val="20"/>
                <w:szCs w:val="20"/>
              </w:rPr>
              <w:t xml:space="preserve"> </w:t>
            </w:r>
            <w:hyperlink r:id="rId23" w:history="1">
              <w:r w:rsidRPr="002F5421">
                <w:rPr>
                  <w:rStyle w:val="Hyperlink"/>
                  <w:sz w:val="20"/>
                  <w:szCs w:val="20"/>
                </w:rPr>
                <w:t>Required Retro-commissioning Study</w:t>
              </w:r>
              <w:r w:rsidR="00D3465F" w:rsidRPr="002F5421">
                <w:rPr>
                  <w:rStyle w:val="Hyperlink"/>
                  <w:sz w:val="20"/>
                  <w:szCs w:val="20"/>
                </w:rPr>
                <w:t xml:space="preserve"> scope</w:t>
              </w:r>
            </w:hyperlink>
            <w:r w:rsidR="00D3465F" w:rsidRPr="008700DC">
              <w:rPr>
                <w:sz w:val="20"/>
                <w:szCs w:val="20"/>
              </w:rPr>
              <w:t xml:space="preserve"> outlined in the City Manager Rules*</w:t>
            </w:r>
            <w:r w:rsidR="0053781F">
              <w:rPr>
                <w:sz w:val="20"/>
                <w:szCs w:val="20"/>
              </w:rPr>
              <w:t>*</w:t>
            </w:r>
          </w:p>
        </w:tc>
      </w:tr>
    </w:tbl>
    <w:p w14:paraId="1D1E8717" w14:textId="42B72F32" w:rsidR="000D3585" w:rsidRPr="00E13EE6" w:rsidRDefault="00920663" w:rsidP="00E13EE6">
      <w:pPr>
        <w:rPr>
          <w:i/>
          <w:sz w:val="20"/>
        </w:rPr>
      </w:pPr>
      <w:r>
        <w:rPr>
          <w:i/>
          <w:sz w:val="20"/>
        </w:rPr>
        <w:t xml:space="preserve">*See </w:t>
      </w:r>
      <w:hyperlink r:id="rId24" w:history="1">
        <w:r w:rsidRPr="0053781F">
          <w:rPr>
            <w:rStyle w:val="Hyperlink"/>
            <w:i/>
            <w:sz w:val="20"/>
          </w:rPr>
          <w:t>Xcel Energy</w:t>
        </w:r>
      </w:hyperlink>
      <w:r>
        <w:rPr>
          <w:i/>
          <w:sz w:val="20"/>
        </w:rPr>
        <w:t xml:space="preserve"> </w:t>
      </w:r>
      <w:hyperlink r:id="rId25" w:history="1">
        <w:r>
          <w:rPr>
            <w:rStyle w:val="Hyperlink"/>
          </w:rPr>
          <w:t>https://www.xcelenergy.com/programs_and_rebates/business_programs_and_rebates</w:t>
        </w:r>
      </w:hyperlink>
      <w:r>
        <w:rPr>
          <w:i/>
          <w:sz w:val="20"/>
        </w:rPr>
        <w:t xml:space="preserve">for more information on programs, eligibility, and rebate offerings. </w:t>
      </w:r>
      <w:r w:rsidR="00E13EE6">
        <w:rPr>
          <w:i/>
          <w:sz w:val="20"/>
        </w:rPr>
        <w:br/>
      </w:r>
      <w:r>
        <w:rPr>
          <w:i/>
          <w:sz w:val="20"/>
        </w:rPr>
        <w:t xml:space="preserve">**The RCx scope outlined in the City Manager Rules is included </w:t>
      </w:r>
      <w:r w:rsidRPr="008700DC">
        <w:rPr>
          <w:i/>
          <w:sz w:val="20"/>
        </w:rPr>
        <w:t xml:space="preserve">in </w:t>
      </w:r>
      <w:r>
        <w:fldChar w:fldCharType="begin"/>
      </w:r>
      <w:r>
        <w:instrText xml:space="preserve"> REF _Ref445985635 \h  \* MERGEFORMAT </w:instrText>
      </w:r>
      <w:r>
        <w:fldChar w:fldCharType="separate"/>
      </w:r>
      <w:r w:rsidRPr="00CB1FA9">
        <w:rPr>
          <w:b/>
          <w:i/>
          <w:sz w:val="20"/>
        </w:rPr>
        <w:t xml:space="preserve">Appendix A: Required </w:t>
      </w:r>
      <w:proofErr w:type="spellStart"/>
      <w:r w:rsidRPr="00CB1FA9">
        <w:rPr>
          <w:b/>
          <w:i/>
          <w:sz w:val="20"/>
        </w:rPr>
        <w:t>Retrocommissioning</w:t>
      </w:r>
      <w:proofErr w:type="spellEnd"/>
      <w:r w:rsidRPr="00CB1FA9">
        <w:rPr>
          <w:b/>
          <w:i/>
          <w:sz w:val="20"/>
        </w:rPr>
        <w:t xml:space="preserve"> Scope</w:t>
      </w:r>
      <w:r>
        <w:fldChar w:fldCharType="end"/>
      </w:r>
    </w:p>
    <w:p w14:paraId="37314417" w14:textId="38D4F541" w:rsidR="00A36B81" w:rsidRPr="00A52B50" w:rsidRDefault="00A36B81" w:rsidP="00A36B81">
      <w:pPr>
        <w:spacing w:after="240" w:line="240" w:lineRule="auto"/>
      </w:pPr>
      <w:r w:rsidRPr="00A52B50">
        <w:t xml:space="preserve">If the </w:t>
      </w:r>
      <w:r w:rsidR="00C0653C">
        <w:t>RCx i</w:t>
      </w:r>
      <w:r w:rsidRPr="00A52B50">
        <w:t>s conducted through a local energy utility program, the scope for that</w:t>
      </w:r>
      <w:r w:rsidR="004D732B">
        <w:t xml:space="preserve"> program</w:t>
      </w:r>
      <w:r w:rsidRPr="00A52B50">
        <w:t xml:space="preserve"> will satisfy the requirements of the ordinance, as long as it addresses b</w:t>
      </w:r>
      <w:r w:rsidR="004D732B">
        <w:t>oth electricity and natural gas-</w:t>
      </w:r>
      <w:r w:rsidRPr="00A52B50">
        <w:t xml:space="preserve">consuming </w:t>
      </w:r>
      <w:r w:rsidRPr="00A52B50">
        <w:lastRenderedPageBreak/>
        <w:t>equipment and controls.</w:t>
      </w:r>
      <w:r w:rsidR="00426293">
        <w:rPr>
          <w:rStyle w:val="FootnoteReference"/>
        </w:rPr>
        <w:footnoteReference w:id="8"/>
      </w:r>
      <w:r w:rsidR="00356150">
        <w:t xml:space="preserve"> </w:t>
      </w:r>
      <w:r w:rsidR="007A6C68">
        <w:t xml:space="preserve"> Building owners will be required to submit BOTH the report produced by the Xcel study AND the completed</w:t>
      </w:r>
      <w:r w:rsidR="001B0276">
        <w:t xml:space="preserve"> Xcel Energy Recommissioning/Building Tune-up</w:t>
      </w:r>
      <w:r w:rsidR="007A6C68">
        <w:t xml:space="preserve"> Rebate Application</w:t>
      </w:r>
      <w:r w:rsidR="001B0276">
        <w:t xml:space="preserve"> t</w:t>
      </w:r>
      <w:r w:rsidR="00E458C1">
        <w:t>o the city.</w:t>
      </w:r>
      <w:r w:rsidR="007A6C68">
        <w:t xml:space="preserve"> </w:t>
      </w:r>
    </w:p>
    <w:p w14:paraId="780DEBD0" w14:textId="46369084" w:rsidR="000B3DFA" w:rsidRDefault="00A36B81" w:rsidP="000B3DFA">
      <w:pPr>
        <w:spacing w:after="0" w:line="240" w:lineRule="auto"/>
      </w:pPr>
      <w:r>
        <w:t xml:space="preserve">If the </w:t>
      </w:r>
      <w:r w:rsidR="00C0653C">
        <w:t xml:space="preserve">RCx </w:t>
      </w:r>
      <w:r w:rsidRPr="00A52B50">
        <w:t>is conducted outside of a local energy utility program, the</w:t>
      </w:r>
      <w:r w:rsidRPr="000B3DFA">
        <w:rPr>
          <w:shd w:val="clear" w:color="auto" w:fill="FFFFFF"/>
        </w:rPr>
        <w:t xml:space="preserve"> scope of the </w:t>
      </w:r>
      <w:r w:rsidR="00C0653C">
        <w:t xml:space="preserve">RCx </w:t>
      </w:r>
      <w:r w:rsidRPr="000B3DFA">
        <w:rPr>
          <w:shd w:val="clear" w:color="auto" w:fill="FFFFFF"/>
        </w:rPr>
        <w:t xml:space="preserve">shall include the activities </w:t>
      </w:r>
      <w:r w:rsidR="00A5420D" w:rsidRPr="000B3DFA">
        <w:rPr>
          <w:shd w:val="clear" w:color="auto" w:fill="FFFFFF"/>
        </w:rPr>
        <w:t>listed in</w:t>
      </w:r>
      <w:r w:rsidR="00A5420D" w:rsidRPr="000B3DFA">
        <w:rPr>
          <w:b/>
          <w:color w:val="004C4C" w:themeColor="accent1" w:themeShade="BF"/>
        </w:rPr>
        <w:t xml:space="preserve"> </w:t>
      </w:r>
      <w:r w:rsidR="007D06B9" w:rsidRPr="00CB1FA9">
        <w:rPr>
          <w:b/>
        </w:rPr>
        <w:fldChar w:fldCharType="begin"/>
      </w:r>
      <w:r w:rsidR="00FD7ABD" w:rsidRPr="00CB1FA9">
        <w:rPr>
          <w:b/>
        </w:rPr>
        <w:instrText xml:space="preserve"> REF _Ref447205825 \h  \* MERGEFORMAT </w:instrText>
      </w:r>
      <w:r w:rsidR="007D06B9" w:rsidRPr="00CB1FA9">
        <w:rPr>
          <w:b/>
        </w:rPr>
      </w:r>
      <w:r w:rsidR="007D06B9" w:rsidRPr="00CB1FA9">
        <w:rPr>
          <w:b/>
        </w:rPr>
        <w:fldChar w:fldCharType="separate"/>
      </w:r>
      <w:r w:rsidR="00324ADD" w:rsidRPr="00CB1FA9">
        <w:rPr>
          <w:b/>
        </w:rPr>
        <w:t xml:space="preserve">Appendix A: Required </w:t>
      </w:r>
      <w:proofErr w:type="spellStart"/>
      <w:r w:rsidR="00324ADD" w:rsidRPr="00CB1FA9">
        <w:rPr>
          <w:b/>
        </w:rPr>
        <w:t>Retrocommissioning</w:t>
      </w:r>
      <w:proofErr w:type="spellEnd"/>
      <w:r w:rsidR="00324ADD" w:rsidRPr="00CB1FA9">
        <w:rPr>
          <w:b/>
        </w:rPr>
        <w:t xml:space="preserve"> Scope</w:t>
      </w:r>
      <w:r w:rsidR="007D06B9" w:rsidRPr="00CB1FA9">
        <w:rPr>
          <w:b/>
        </w:rPr>
        <w:fldChar w:fldCharType="end"/>
      </w:r>
      <w:r w:rsidRPr="000B3DFA">
        <w:rPr>
          <w:shd w:val="clear" w:color="auto" w:fill="FFFFFF"/>
        </w:rPr>
        <w:t>. A monitoring-based commissioning</w:t>
      </w:r>
      <w:r w:rsidR="000B3DFA">
        <w:rPr>
          <w:shd w:val="clear" w:color="auto" w:fill="FFFFFF"/>
        </w:rPr>
        <w:t xml:space="preserve"> (MBCx)</w:t>
      </w:r>
      <w:r w:rsidRPr="000B3DFA">
        <w:rPr>
          <w:shd w:val="clear" w:color="auto" w:fill="FFFFFF"/>
        </w:rPr>
        <w:t xml:space="preserve"> approach may be used to investigate and evaluate building systems as part of the </w:t>
      </w:r>
      <w:r w:rsidR="00C0653C">
        <w:t xml:space="preserve">RCx </w:t>
      </w:r>
      <w:r w:rsidRPr="000B3DFA">
        <w:rPr>
          <w:shd w:val="clear" w:color="auto" w:fill="FFFFFF"/>
        </w:rPr>
        <w:t xml:space="preserve">process. </w:t>
      </w:r>
      <w:r w:rsidR="000B3DFA">
        <w:rPr>
          <w:shd w:val="clear" w:color="auto" w:fill="FFFFFF"/>
        </w:rPr>
        <w:t xml:space="preserve">However, while </w:t>
      </w:r>
      <w:r w:rsidR="000B3DFA">
        <w:t>monitoring based commissioning is an excellent strategy to maintain the persistence of</w:t>
      </w:r>
      <w:r w:rsidR="00892A17">
        <w:t xml:space="preserve"> savings generated from a full RCx</w:t>
      </w:r>
      <w:r w:rsidR="000B3DFA">
        <w:t xml:space="preserve"> effort, but it is not a substitute for the RCx. </w:t>
      </w:r>
    </w:p>
    <w:p w14:paraId="491C7303" w14:textId="77777777" w:rsidR="00892A17" w:rsidRDefault="00892A17" w:rsidP="00892A17">
      <w:pPr>
        <w:spacing w:after="0"/>
      </w:pPr>
    </w:p>
    <w:tbl>
      <w:tblPr>
        <w:tblStyle w:val="TableGrid"/>
        <w:tblW w:w="0" w:type="auto"/>
        <w:tblLook w:val="04A0" w:firstRow="1" w:lastRow="0" w:firstColumn="1" w:lastColumn="0" w:noHBand="0" w:noVBand="1"/>
      </w:tblPr>
      <w:tblGrid>
        <w:gridCol w:w="5005"/>
        <w:gridCol w:w="4345"/>
      </w:tblGrid>
      <w:tr w:rsidR="00517022" w14:paraId="38646526" w14:textId="677A358A" w:rsidTr="00517022">
        <w:tc>
          <w:tcPr>
            <w:tcW w:w="5005" w:type="dxa"/>
            <w:shd w:val="clear" w:color="auto" w:fill="F2F2F2" w:themeFill="background1" w:themeFillShade="F2"/>
          </w:tcPr>
          <w:p w14:paraId="63751C05" w14:textId="77777777" w:rsidR="00517022" w:rsidRPr="00426293" w:rsidRDefault="00517022" w:rsidP="00426293">
            <w:pPr>
              <w:rPr>
                <w:b/>
                <w:i/>
              </w:rPr>
            </w:pPr>
            <w:r w:rsidRPr="00426293">
              <w:rPr>
                <w:b/>
                <w:i/>
              </w:rPr>
              <w:t xml:space="preserve">All RCx measures that are “cost effective” – defined as having an estimated simple payback of two years </w:t>
            </w:r>
            <w:r>
              <w:rPr>
                <w:b/>
                <w:i/>
              </w:rPr>
              <w:t xml:space="preserve">or less </w:t>
            </w:r>
            <w:r w:rsidRPr="00426293">
              <w:rPr>
                <w:b/>
                <w:i/>
              </w:rPr>
              <w:t xml:space="preserve">– are required to be implemented within two years of the RCx </w:t>
            </w:r>
            <w:r>
              <w:rPr>
                <w:b/>
                <w:i/>
              </w:rPr>
              <w:t>study deadline</w:t>
            </w:r>
            <w:r w:rsidRPr="00426293">
              <w:rPr>
                <w:b/>
                <w:i/>
              </w:rPr>
              <w:t>.</w:t>
            </w:r>
          </w:p>
          <w:p w14:paraId="1EC0D52B" w14:textId="77777777" w:rsidR="00517022" w:rsidRDefault="00517022" w:rsidP="002048C2">
            <w:pPr>
              <w:spacing w:line="259" w:lineRule="auto"/>
              <w:rPr>
                <w:i/>
              </w:rPr>
            </w:pPr>
          </w:p>
          <w:p w14:paraId="66BE94EE" w14:textId="77777777" w:rsidR="00517022" w:rsidRPr="006764CB" w:rsidRDefault="00517022" w:rsidP="002048C2">
            <w:pPr>
              <w:spacing w:line="259" w:lineRule="auto"/>
              <w:rPr>
                <w:i/>
              </w:rPr>
            </w:pPr>
            <w:r w:rsidRPr="0003491F">
              <w:rPr>
                <w:i/>
              </w:rPr>
              <w:t xml:space="preserve">The </w:t>
            </w:r>
            <w:r w:rsidRPr="0003491F">
              <w:rPr>
                <w:b/>
                <w:i/>
              </w:rPr>
              <w:t>simple</w:t>
            </w:r>
            <w:r w:rsidRPr="0003491F">
              <w:rPr>
                <w:i/>
              </w:rPr>
              <w:t xml:space="preserve"> </w:t>
            </w:r>
            <w:r w:rsidRPr="0003491F">
              <w:rPr>
                <w:b/>
                <w:i/>
              </w:rPr>
              <w:t xml:space="preserve">payback period </w:t>
            </w:r>
            <w:r w:rsidRPr="0003491F">
              <w:rPr>
                <w:i/>
              </w:rPr>
              <w:t xml:space="preserve">is the cost of the measures </w:t>
            </w:r>
            <w:r>
              <w:rPr>
                <w:i/>
              </w:rPr>
              <w:t xml:space="preserve">(less any rebates and incentives) </w:t>
            </w:r>
            <w:r w:rsidRPr="0003491F">
              <w:rPr>
                <w:i/>
              </w:rPr>
              <w:t xml:space="preserve">divided by the energy cost savings, yielding the payback period in years. For example, if a measure costs $5,000 and the energy savings for that measure are worth $1,000 per year, then the payback period is five years. </w:t>
            </w:r>
          </w:p>
        </w:tc>
        <w:tc>
          <w:tcPr>
            <w:tcW w:w="4345" w:type="dxa"/>
            <w:shd w:val="clear" w:color="auto" w:fill="F2F2F2" w:themeFill="background1" w:themeFillShade="F2"/>
          </w:tcPr>
          <w:p w14:paraId="5664E30C" w14:textId="77777777" w:rsidR="00517022" w:rsidRPr="00426293" w:rsidRDefault="00517022" w:rsidP="00426293">
            <w:pPr>
              <w:rPr>
                <w:b/>
                <w:i/>
              </w:rPr>
            </w:pPr>
          </w:p>
        </w:tc>
      </w:tr>
    </w:tbl>
    <w:p w14:paraId="37D2E80A" w14:textId="77777777" w:rsidR="00592052" w:rsidRDefault="00592052" w:rsidP="00592052">
      <w:bookmarkStart w:id="387" w:name="_Ref485890859"/>
    </w:p>
    <w:p w14:paraId="7E8931DA" w14:textId="194CC333" w:rsidR="00B55E7F" w:rsidRPr="002116FC" w:rsidRDefault="00E050C0" w:rsidP="002116FC">
      <w:pPr>
        <w:pStyle w:val="Heading3"/>
      </w:pPr>
      <w:proofErr w:type="spellStart"/>
      <w:r>
        <w:t>Retrocommissioning</w:t>
      </w:r>
      <w:proofErr w:type="spellEnd"/>
      <w:r>
        <w:t xml:space="preserve"> </w:t>
      </w:r>
      <w:r w:rsidR="00C37BAB" w:rsidRPr="002116FC">
        <w:t>Report</w:t>
      </w:r>
      <w:bookmarkEnd w:id="387"/>
    </w:p>
    <w:p w14:paraId="704A6A3C" w14:textId="21333E06" w:rsidR="00E4083D" w:rsidRDefault="00132DA9" w:rsidP="002116FC">
      <w:pPr>
        <w:pStyle w:val="NoSpacing"/>
      </w:pPr>
      <w:r w:rsidRPr="002116FC">
        <w:t xml:space="preserve">If the RCx is conducted through a local energy utility program, the report produced for that </w:t>
      </w:r>
      <w:r w:rsidR="004D732B" w:rsidRPr="002116FC">
        <w:t>program</w:t>
      </w:r>
      <w:r w:rsidR="00E458C1">
        <w:t xml:space="preserve"> AND an uploaded copy of the Xcel Recommissioning/Building Tune-up </w:t>
      </w:r>
      <w:r w:rsidR="00FB2D85">
        <w:t>Rebate Application</w:t>
      </w:r>
      <w:r w:rsidR="004D732B" w:rsidRPr="002116FC">
        <w:t xml:space="preserve"> </w:t>
      </w:r>
      <w:r w:rsidRPr="002116FC">
        <w:t>will satisfy the requirements of the ordinance.</w:t>
      </w:r>
      <w:r w:rsidR="000D3585" w:rsidRPr="002116FC">
        <w:t xml:space="preserve"> </w:t>
      </w:r>
      <w:r w:rsidRPr="002116FC">
        <w:t>If the RCx is conducted outside of a local energy utility</w:t>
      </w:r>
      <w:r w:rsidRPr="00A52B50">
        <w:t xml:space="preserve"> program, then the </w:t>
      </w:r>
      <w:r>
        <w:rPr>
          <w:szCs w:val="24"/>
        </w:rPr>
        <w:t xml:space="preserve">RCx </w:t>
      </w:r>
      <w:r w:rsidR="00E502B3">
        <w:t>r</w:t>
      </w:r>
      <w:r w:rsidRPr="00A52B50">
        <w:t>ep</w:t>
      </w:r>
      <w:r w:rsidR="00C35A30">
        <w:t>ort shall include summaries of building use, systems, operations and results of each completed RCx activity. It must also include a t</w:t>
      </w:r>
      <w:r w:rsidRPr="00AF716B">
        <w:t xml:space="preserve">able </w:t>
      </w:r>
      <w:r>
        <w:t xml:space="preserve">of recommended </w:t>
      </w:r>
      <w:r>
        <w:rPr>
          <w:szCs w:val="24"/>
        </w:rPr>
        <w:t xml:space="preserve">RCx </w:t>
      </w:r>
      <w:r w:rsidR="00C35A30">
        <w:t>m</w:t>
      </w:r>
      <w:r>
        <w:t>eas</w:t>
      </w:r>
      <w:r w:rsidR="004D732B">
        <w:t>ures that clearly indicates th</w:t>
      </w:r>
      <w:r>
        <w:t>e measures that must be implemented per the ordinance requirements</w:t>
      </w:r>
      <w:r w:rsidR="00C35A30">
        <w:t xml:space="preserve">. </w:t>
      </w:r>
      <w:r w:rsidR="00892A17">
        <w:t xml:space="preserve">Please refer to </w:t>
      </w:r>
      <w:r w:rsidR="007D06B9" w:rsidRPr="00CB1FA9">
        <w:rPr>
          <w:b/>
        </w:rPr>
        <w:fldChar w:fldCharType="begin"/>
      </w:r>
      <w:r w:rsidR="00426293" w:rsidRPr="00CB1FA9">
        <w:rPr>
          <w:b/>
        </w:rPr>
        <w:instrText xml:space="preserve"> REF _Ref447706165 \h  \* MERGEFORMAT </w:instrText>
      </w:r>
      <w:r w:rsidR="007D06B9" w:rsidRPr="00CB1FA9">
        <w:rPr>
          <w:b/>
        </w:rPr>
      </w:r>
      <w:r w:rsidR="007D06B9" w:rsidRPr="00CB1FA9">
        <w:rPr>
          <w:b/>
        </w:rPr>
        <w:fldChar w:fldCharType="separate"/>
      </w:r>
      <w:r w:rsidR="00324ADD" w:rsidRPr="00CB1FA9">
        <w:rPr>
          <w:b/>
        </w:rPr>
        <w:t>Appendix B: RCx Report Sample Outline</w:t>
      </w:r>
      <w:r w:rsidR="007D06B9" w:rsidRPr="00CB1FA9">
        <w:rPr>
          <w:b/>
        </w:rPr>
        <w:fldChar w:fldCharType="end"/>
      </w:r>
      <w:r w:rsidR="00426293">
        <w:t xml:space="preserve"> </w:t>
      </w:r>
      <w:r w:rsidR="00E502B3" w:rsidRPr="00E502B3">
        <w:t>for a</w:t>
      </w:r>
      <w:r w:rsidR="00A3102C">
        <w:t>n example</w:t>
      </w:r>
      <w:r w:rsidR="00E502B3" w:rsidRPr="00E502B3">
        <w:t xml:space="preserve"> </w:t>
      </w:r>
      <w:r w:rsidR="00A3102C">
        <w:t>report outline</w:t>
      </w:r>
      <w:r w:rsidR="00E502B3" w:rsidRPr="00E502B3">
        <w:t>.</w:t>
      </w:r>
    </w:p>
    <w:p w14:paraId="71DA6B51" w14:textId="04BCC8F2" w:rsidR="00D3465F" w:rsidRDefault="00E502B3" w:rsidP="00D3465F">
      <w:pPr>
        <w:spacing w:before="160"/>
      </w:pPr>
      <w:r>
        <w:rPr>
          <w:szCs w:val="24"/>
        </w:rPr>
        <w:t>All</w:t>
      </w:r>
      <w:r w:rsidR="00D3465F">
        <w:rPr>
          <w:szCs w:val="24"/>
        </w:rPr>
        <w:t xml:space="preserve"> </w:t>
      </w:r>
      <w:r w:rsidR="00C0653C">
        <w:t xml:space="preserve">RCx </w:t>
      </w:r>
      <w:r>
        <w:t>studies for compliance</w:t>
      </w:r>
      <w:r w:rsidR="00D3465F">
        <w:t xml:space="preserve"> must be conducted by a service provider that is listed on the City</w:t>
      </w:r>
      <w:r w:rsidR="00D3465F" w:rsidRPr="00603B36">
        <w:t xml:space="preserve"> of Boulder’s </w:t>
      </w:r>
      <w:hyperlink r:id="rId26" w:history="1">
        <w:r w:rsidR="00A5420D" w:rsidRPr="00A5420D">
          <w:rPr>
            <w:rStyle w:val="Hyperlink"/>
          </w:rPr>
          <w:t>qualified service provider list</w:t>
        </w:r>
      </w:hyperlink>
      <w:r w:rsidR="00D3465F" w:rsidRPr="00603B36">
        <w:t>.</w:t>
      </w:r>
      <w:r w:rsidR="00D3465F">
        <w:t xml:space="preserve"> </w:t>
      </w:r>
    </w:p>
    <w:p w14:paraId="6353F570" w14:textId="77777777" w:rsidR="001D792C" w:rsidRPr="001D792C" w:rsidRDefault="001D792C" w:rsidP="001D792C">
      <w:r>
        <w:t xml:space="preserve">Once </w:t>
      </w:r>
      <w:r w:rsidR="00AE0331">
        <w:t>a building owner has</w:t>
      </w:r>
      <w:r>
        <w:t xml:space="preserve"> determine</w:t>
      </w:r>
      <w:r w:rsidR="00AE0331">
        <w:t>d</w:t>
      </w:r>
      <w:r>
        <w:t xml:space="preserve"> the scope </w:t>
      </w:r>
      <w:r w:rsidR="00555145">
        <w:t xml:space="preserve">of the energy assessment and </w:t>
      </w:r>
      <w:proofErr w:type="spellStart"/>
      <w:r w:rsidR="00555145">
        <w:t>retrocommissioning</w:t>
      </w:r>
      <w:proofErr w:type="spellEnd"/>
      <w:r w:rsidR="00555145">
        <w:t xml:space="preserve"> </w:t>
      </w:r>
      <w:r>
        <w:t xml:space="preserve">required for </w:t>
      </w:r>
      <w:r w:rsidR="00AE0331">
        <w:t>their</w:t>
      </w:r>
      <w:r>
        <w:t xml:space="preserve"> building, </w:t>
      </w:r>
      <w:r w:rsidR="00AE0331">
        <w:t>they</w:t>
      </w:r>
      <w:r>
        <w:t xml:space="preserve"> can begin planning for the requirements</w:t>
      </w:r>
      <w:r w:rsidR="00892A17">
        <w:t>, which includes estimating costs, determin</w:t>
      </w:r>
      <w:r w:rsidR="00C37BAB">
        <w:t>ing</w:t>
      </w:r>
      <w:r w:rsidR="00892A17">
        <w:t xml:space="preserve"> cost savings opportunities, selecting a service provider, and preparing for and managing the process</w:t>
      </w:r>
      <w:r>
        <w:t>.</w:t>
      </w:r>
    </w:p>
    <w:p w14:paraId="26FBC300" w14:textId="6FD28CB2" w:rsidR="001D792C" w:rsidRDefault="00592052" w:rsidP="005E4DDE">
      <w:pPr>
        <w:pStyle w:val="Heading2"/>
      </w:pPr>
      <w:bookmarkStart w:id="388" w:name="_Toc530563759"/>
      <w:r>
        <w:lastRenderedPageBreak/>
        <w:t>2.3</w:t>
      </w:r>
      <w:r>
        <w:tab/>
      </w:r>
      <w:r w:rsidR="005E4DDE">
        <w:t>Cost Savings Opportunities</w:t>
      </w:r>
      <w:bookmarkEnd w:id="388"/>
    </w:p>
    <w:p w14:paraId="3C48B400" w14:textId="23D4C2A6" w:rsidR="005E4DDE" w:rsidRDefault="006D6851" w:rsidP="007657F4">
      <w:r>
        <w:t>To plan for</w:t>
      </w:r>
      <w:r w:rsidR="00892A17">
        <w:t xml:space="preserve"> compliance with</w:t>
      </w:r>
      <w:r>
        <w:t xml:space="preserve"> the efficiency requirements </w:t>
      </w:r>
      <w:r w:rsidR="00AE0331">
        <w:t>owners should</w:t>
      </w:r>
      <w:r>
        <w:t xml:space="preserve"> estimate the associated investments.</w:t>
      </w:r>
      <w:r w:rsidR="00A047BD">
        <w:t xml:space="preserve"> It is recommended that owners solicit </w:t>
      </w:r>
      <w:r w:rsidR="00CF5F9A">
        <w:t xml:space="preserve">quotes/cost proposals from at least three service providers. </w:t>
      </w:r>
      <w:r w:rsidR="007657F4">
        <w:t xml:space="preserve"> </w:t>
      </w:r>
      <w:r w:rsidR="00555145" w:rsidRPr="00555145">
        <w:t xml:space="preserve">After </w:t>
      </w:r>
      <w:r w:rsidR="00CF5F9A">
        <w:t xml:space="preserve">receiving </w:t>
      </w:r>
      <w:r w:rsidR="00555145" w:rsidRPr="00555145">
        <w:t>estima</w:t>
      </w:r>
      <w:r w:rsidR="00CF5F9A">
        <w:t>tes of</w:t>
      </w:r>
      <w:r w:rsidR="00555145" w:rsidRPr="00555145">
        <w:t xml:space="preserve"> </w:t>
      </w:r>
      <w:r w:rsidR="00892A17">
        <w:t>potential upfront</w:t>
      </w:r>
      <w:r w:rsidR="00555145" w:rsidRPr="00555145">
        <w:t xml:space="preserve"> costs, </w:t>
      </w:r>
      <w:r w:rsidR="00892A17">
        <w:t>a building owner</w:t>
      </w:r>
      <w:r w:rsidR="00892A17" w:rsidRPr="00555145">
        <w:t xml:space="preserve"> </w:t>
      </w:r>
      <w:r w:rsidR="00555145" w:rsidRPr="00555145">
        <w:t xml:space="preserve">should evaluate the opportunities to </w:t>
      </w:r>
      <w:r w:rsidR="00892A17">
        <w:t>realize</w:t>
      </w:r>
      <w:r w:rsidR="00892A17" w:rsidRPr="00555145">
        <w:t xml:space="preserve"> </w:t>
      </w:r>
      <w:r w:rsidR="00555145" w:rsidRPr="00555145">
        <w:t xml:space="preserve">cost savings through implementing services concurrently, participating in existing </w:t>
      </w:r>
      <w:r w:rsidR="00892A17">
        <w:t xml:space="preserve">utility and </w:t>
      </w:r>
      <w:r w:rsidR="001E41E4">
        <w:t>city</w:t>
      </w:r>
      <w:r w:rsidR="00892A17">
        <w:t xml:space="preserve"> </w:t>
      </w:r>
      <w:r w:rsidR="00555145" w:rsidRPr="00555145">
        <w:t>programs</w:t>
      </w:r>
      <w:r w:rsidR="00892A17">
        <w:t>,</w:t>
      </w:r>
      <w:r w:rsidR="00555145" w:rsidRPr="00555145">
        <w:t xml:space="preserve"> and identifying applicable rebate and financing offers.</w:t>
      </w:r>
    </w:p>
    <w:p w14:paraId="4C2E3B11" w14:textId="77777777" w:rsidR="005E4DDE" w:rsidRDefault="005E4DDE" w:rsidP="001D792C">
      <w:pPr>
        <w:pStyle w:val="NoSpacing"/>
      </w:pPr>
    </w:p>
    <w:p w14:paraId="249CD790" w14:textId="3E59F469" w:rsidR="00A6232A" w:rsidRPr="005E4DDE" w:rsidRDefault="00592052" w:rsidP="005E4DDE">
      <w:pPr>
        <w:pStyle w:val="Heading3"/>
      </w:pPr>
      <w:bookmarkStart w:id="389" w:name="_Toc441482649"/>
      <w:r>
        <w:t>2.3.1</w:t>
      </w:r>
      <w:r>
        <w:tab/>
      </w:r>
      <w:r w:rsidR="00B15364">
        <w:t xml:space="preserve">Rebate and </w:t>
      </w:r>
      <w:r w:rsidR="005E4DDE" w:rsidRPr="005E4DDE">
        <w:t>Incentive Programs</w:t>
      </w:r>
    </w:p>
    <w:p w14:paraId="0591D14D" w14:textId="5635EF9F" w:rsidR="001E41E4" w:rsidRDefault="005E4DDE" w:rsidP="001D792C">
      <w:r>
        <w:t>T</w:t>
      </w:r>
      <w:r w:rsidR="001D792C">
        <w:t>here</w:t>
      </w:r>
      <w:r w:rsidR="00B33F6A">
        <w:t xml:space="preserve"> are </w:t>
      </w:r>
      <w:r w:rsidR="001D792C">
        <w:t>opportunities for cost savings</w:t>
      </w:r>
      <w:r w:rsidR="003C4D45">
        <w:t xml:space="preserve"> by participating in existing </w:t>
      </w:r>
      <w:r w:rsidR="001E41E4">
        <w:t xml:space="preserve">utility or city </w:t>
      </w:r>
      <w:r w:rsidR="003C4D45">
        <w:t>programs</w:t>
      </w:r>
      <w:r w:rsidR="001D792C">
        <w:t xml:space="preserve">. </w:t>
      </w:r>
    </w:p>
    <w:p w14:paraId="46172B93" w14:textId="77777777" w:rsidR="001E41E4" w:rsidRPr="005E4DDE" w:rsidRDefault="00AF6907" w:rsidP="005E4DDE">
      <w:pPr>
        <w:pStyle w:val="Heading4"/>
        <w:rPr>
          <w:rStyle w:val="Emphasis"/>
          <w:i/>
        </w:rPr>
      </w:pPr>
      <w:r w:rsidRPr="005E4DDE">
        <w:rPr>
          <w:rStyle w:val="Emphasis"/>
          <w:i/>
        </w:rPr>
        <w:t xml:space="preserve">Energy </w:t>
      </w:r>
      <w:r w:rsidR="00FD7ABD" w:rsidRPr="005E4DDE">
        <w:rPr>
          <w:rStyle w:val="Emphasis"/>
          <w:i/>
        </w:rPr>
        <w:t>Assessments</w:t>
      </w:r>
    </w:p>
    <w:p w14:paraId="01EF6D83" w14:textId="5DC375CD" w:rsidR="001E41E4" w:rsidRDefault="003C4D45" w:rsidP="001E41E4">
      <w:r>
        <w:t xml:space="preserve">Buildings </w:t>
      </w:r>
      <w:r w:rsidR="001D792C">
        <w:t xml:space="preserve">less than 50,000 sf </w:t>
      </w:r>
      <w:r>
        <w:t>must perform a</w:t>
      </w:r>
      <w:r w:rsidR="00A06A5D">
        <w:t xml:space="preserve"> Level I energy assessmen</w:t>
      </w:r>
      <w:r w:rsidR="00A6232A">
        <w:t>t</w:t>
      </w:r>
      <w:r w:rsidR="001D792C">
        <w:t xml:space="preserve">. </w:t>
      </w:r>
      <w:r w:rsidR="001E41E4">
        <w:t xml:space="preserve">Xcel Energy offers a </w:t>
      </w:r>
      <w:hyperlink r:id="rId27" w:history="1">
        <w:r w:rsidR="00FE7B68" w:rsidRPr="001C23E4">
          <w:rPr>
            <w:rStyle w:val="Hyperlink"/>
          </w:rPr>
          <w:t>Business Energy A</w:t>
        </w:r>
        <w:r w:rsidR="001C23E4" w:rsidRPr="001C23E4">
          <w:rPr>
            <w:rStyle w:val="Hyperlink"/>
          </w:rPr>
          <w:t>ssessment</w:t>
        </w:r>
      </w:hyperlink>
      <w:r w:rsidR="001E41E4">
        <w:t xml:space="preserve"> in which building owners </w:t>
      </w:r>
      <w:r w:rsidR="001C23E4">
        <w:t>may apply to receive a</w:t>
      </w:r>
      <w:r w:rsidR="001E41E4">
        <w:t xml:space="preserve">n ASHRAE Level I </w:t>
      </w:r>
      <w:r w:rsidR="000F4668">
        <w:t>E</w:t>
      </w:r>
      <w:r w:rsidR="001E41E4">
        <w:t xml:space="preserve">nergy </w:t>
      </w:r>
      <w:r w:rsidR="000F4668">
        <w:t>A</w:t>
      </w:r>
      <w:r w:rsidR="001E41E4">
        <w:t xml:space="preserve">ssessment. </w:t>
      </w:r>
    </w:p>
    <w:p w14:paraId="5948FC87" w14:textId="55047927" w:rsidR="001D792C" w:rsidRDefault="003C4D45" w:rsidP="00A6232A">
      <w:r>
        <w:t>Buildings</w:t>
      </w:r>
      <w:r w:rsidR="001D792C">
        <w:t xml:space="preserve"> 50,000 sf or </w:t>
      </w:r>
      <w:r>
        <w:t>larger</w:t>
      </w:r>
      <w:r w:rsidR="001D792C">
        <w:t xml:space="preserve"> must </w:t>
      </w:r>
      <w:r w:rsidR="000F4668">
        <w:t>submit</w:t>
      </w:r>
      <w:r w:rsidR="001D792C">
        <w:t xml:space="preserve"> a L</w:t>
      </w:r>
      <w:r w:rsidR="007C61D9">
        <w:t xml:space="preserve">evel II </w:t>
      </w:r>
      <w:r w:rsidR="000F4668">
        <w:t>E</w:t>
      </w:r>
      <w:r w:rsidR="007C61D9">
        <w:t xml:space="preserve">nergy </w:t>
      </w:r>
      <w:r w:rsidR="000F4668">
        <w:t>A</w:t>
      </w:r>
      <w:r w:rsidR="007C61D9">
        <w:t xml:space="preserve">ssessment. </w:t>
      </w:r>
    </w:p>
    <w:p w14:paraId="600C9AE3" w14:textId="77777777" w:rsidR="00791EAC" w:rsidRDefault="00FD7ABD" w:rsidP="005E4DDE">
      <w:pPr>
        <w:pStyle w:val="Heading4"/>
        <w:rPr>
          <w:rStyle w:val="Emphasis"/>
          <w:i/>
        </w:rPr>
      </w:pPr>
      <w:proofErr w:type="spellStart"/>
      <w:r w:rsidRPr="005E4DDE">
        <w:rPr>
          <w:rStyle w:val="Emphasis"/>
          <w:i/>
        </w:rPr>
        <w:t>Retrocommissioning</w:t>
      </w:r>
      <w:proofErr w:type="spellEnd"/>
    </w:p>
    <w:p w14:paraId="30517A34" w14:textId="77777777" w:rsidR="00864E7A" w:rsidRDefault="00864E7A" w:rsidP="00864E7A"/>
    <w:p w14:paraId="1AC406E2" w14:textId="1D5B5638" w:rsidR="00864E7A" w:rsidRDefault="00864E7A" w:rsidP="00864E7A">
      <w:r>
        <w:t xml:space="preserve">Buildings less than 50,000 square feet can participate in Xcel Energy’s </w:t>
      </w:r>
      <w:hyperlink r:id="rId28" w:history="1">
        <w:r w:rsidRPr="00C1245E">
          <w:rPr>
            <w:rStyle w:val="Hyperlink"/>
          </w:rPr>
          <w:t>Business Energy Assessment program</w:t>
        </w:r>
      </w:hyperlink>
      <w:r>
        <w:t xml:space="preserve"> as a means to compliance with the city’s Retro-commissioning requirement. </w:t>
      </w:r>
    </w:p>
    <w:p w14:paraId="1824B9DA" w14:textId="0FF766CD" w:rsidR="00C1245E" w:rsidRPr="00864E7A" w:rsidRDefault="00C1245E" w:rsidP="00864E7A">
      <w:r>
        <w:t xml:space="preserve">Buildings larger than 50,000 square feet must work with a </w:t>
      </w:r>
      <w:hyperlink r:id="rId29" w:history="1">
        <w:r w:rsidR="00CC0927" w:rsidRPr="00CC0927">
          <w:rPr>
            <w:rStyle w:val="Hyperlink"/>
          </w:rPr>
          <w:t>Qualified Service Provider</w:t>
        </w:r>
      </w:hyperlink>
      <w:r w:rsidR="00CC0927">
        <w:t xml:space="preserve"> to complete a Retro-commissioning Analysis.  Unfortunately, at this time, there are no rebates or incentives available through Xcel Energy.</w:t>
      </w:r>
    </w:p>
    <w:p w14:paraId="1295195E" w14:textId="77777777" w:rsidR="001D792C" w:rsidRPr="005E4DDE" w:rsidRDefault="001D792C" w:rsidP="005E4DDE">
      <w:pPr>
        <w:pStyle w:val="Heading4"/>
      </w:pPr>
      <w:bookmarkStart w:id="390" w:name="_Toc445462095"/>
      <w:bookmarkStart w:id="391" w:name="_Ref446940267"/>
      <w:bookmarkStart w:id="392" w:name="_Ref447778848"/>
      <w:r w:rsidRPr="005E4DDE">
        <w:t>Rebates, Incentives</w:t>
      </w:r>
      <w:bookmarkEnd w:id="389"/>
      <w:r w:rsidRPr="005E4DDE">
        <w:t>, and Financing Options</w:t>
      </w:r>
      <w:bookmarkEnd w:id="390"/>
      <w:bookmarkEnd w:id="391"/>
      <w:bookmarkEnd w:id="392"/>
    </w:p>
    <w:p w14:paraId="7CFADC39" w14:textId="77777777" w:rsidR="001D792C" w:rsidRDefault="007C61D9" w:rsidP="001D792C">
      <w:r>
        <w:t>Additional savings opportunities are available through existing</w:t>
      </w:r>
      <w:r w:rsidR="001D792C">
        <w:t xml:space="preserve"> r</w:t>
      </w:r>
      <w:r w:rsidR="001D792C" w:rsidRPr="00546048">
        <w:t>ebates</w:t>
      </w:r>
      <w:r w:rsidR="001D792C">
        <w:t>, grants</w:t>
      </w:r>
      <w:r w:rsidR="001D792C" w:rsidRPr="00546048">
        <w:t xml:space="preserve"> and incentives </w:t>
      </w:r>
      <w:r w:rsidR="001D792C">
        <w:t xml:space="preserve">that </w:t>
      </w:r>
      <w:r w:rsidR="001D792C" w:rsidRPr="00546048">
        <w:t xml:space="preserve">help offset some of the costs of </w:t>
      </w:r>
      <w:r w:rsidR="001D792C">
        <w:t xml:space="preserve">implementing </w:t>
      </w:r>
      <w:r>
        <w:t xml:space="preserve">the efficiency </w:t>
      </w:r>
      <w:r w:rsidR="001D792C">
        <w:t xml:space="preserve">requirements. </w:t>
      </w:r>
    </w:p>
    <w:p w14:paraId="3EDF75F0" w14:textId="7A15A380" w:rsidR="001D792C" w:rsidRDefault="001D792C" w:rsidP="001D792C">
      <w:r w:rsidRPr="00546048">
        <w:t xml:space="preserve">The first place </w:t>
      </w:r>
      <w:r w:rsidR="00AE0331">
        <w:t xml:space="preserve">to look for </w:t>
      </w:r>
      <w:r w:rsidRPr="00546048">
        <w:t xml:space="preserve">available rebates and incentives is the </w:t>
      </w:r>
      <w:r>
        <w:t>City</w:t>
      </w:r>
      <w:r w:rsidRPr="00546048">
        <w:t xml:space="preserve"> of Boulder website under </w:t>
      </w:r>
      <w:hyperlink r:id="rId30" w:history="1">
        <w:r w:rsidR="00D94D5D" w:rsidRPr="00D94D5D">
          <w:rPr>
            <w:rStyle w:val="Hyperlink"/>
          </w:rPr>
          <w:t>Energy Rebates and Resources</w:t>
        </w:r>
      </w:hyperlink>
      <w:r w:rsidR="00AF6907">
        <w:t>,</w:t>
      </w:r>
      <w:r w:rsidRPr="00546048">
        <w:t xml:space="preserve"> </w:t>
      </w:r>
      <w:r w:rsidR="00AF6907">
        <w:t>which</w:t>
      </w:r>
      <w:r w:rsidRPr="00546048">
        <w:t xml:space="preserve"> </w:t>
      </w:r>
      <w:r w:rsidR="00AE0331">
        <w:t>lists</w:t>
      </w:r>
      <w:r w:rsidRPr="00546048">
        <w:t xml:space="preserve"> </w:t>
      </w:r>
      <w:r>
        <w:t xml:space="preserve">helpful </w:t>
      </w:r>
      <w:r w:rsidRPr="00546048">
        <w:t xml:space="preserve">information and links to </w:t>
      </w:r>
      <w:r>
        <w:t>various programs. The following table provides a high-level review of rebates and incentives currently available.</w:t>
      </w:r>
    </w:p>
    <w:p w14:paraId="284F321B" w14:textId="77777777" w:rsidR="00E13EE6" w:rsidRDefault="00E13EE6" w:rsidP="001D792C"/>
    <w:p w14:paraId="5D6ACFF8" w14:textId="77777777" w:rsidR="00E13EE6" w:rsidRDefault="00E13EE6" w:rsidP="001D792C"/>
    <w:p w14:paraId="0E2CA413" w14:textId="77777777" w:rsidR="00E13EE6" w:rsidRDefault="00E13EE6" w:rsidP="001D792C"/>
    <w:p w14:paraId="31F76BE9" w14:textId="77777777" w:rsidR="00E13EE6" w:rsidRDefault="00E13EE6" w:rsidP="001D792C"/>
    <w:p w14:paraId="4A1BFD04" w14:textId="77777777" w:rsidR="00E13EE6" w:rsidRDefault="00E13EE6" w:rsidP="001D792C"/>
    <w:p w14:paraId="0AB87BF5" w14:textId="77777777" w:rsidR="00E13EE6" w:rsidRDefault="00E13EE6" w:rsidP="001D792C"/>
    <w:p w14:paraId="33961F72" w14:textId="77777777" w:rsidR="00E13EE6" w:rsidRDefault="00E13EE6" w:rsidP="001D792C"/>
    <w:p w14:paraId="598E632F" w14:textId="77777777" w:rsidR="00E13EE6" w:rsidRDefault="00E13EE6" w:rsidP="001D792C"/>
    <w:p w14:paraId="36B37D2D" w14:textId="1ED5E936" w:rsidR="00E13EE6" w:rsidRPr="00E13EE6" w:rsidRDefault="00E13EE6" w:rsidP="00E13EE6">
      <w:pPr>
        <w:jc w:val="center"/>
        <w:rPr>
          <w:color w:val="006666" w:themeColor="accent1"/>
        </w:rPr>
      </w:pPr>
      <w:r w:rsidRPr="00E13EE6">
        <w:rPr>
          <w:rStyle w:val="Emphasis"/>
          <w:b/>
          <w:i w:val="0"/>
          <w:color w:val="006666" w:themeColor="accent1"/>
        </w:rPr>
        <w:lastRenderedPageBreak/>
        <w:t>Rebates, Grants, Incentives and Financing Options</w:t>
      </w:r>
    </w:p>
    <w:tbl>
      <w:tblPr>
        <w:tblStyle w:val="TableGrid"/>
        <w:tblW w:w="5000" w:type="pct"/>
        <w:tblBorders>
          <w:top w:val="single" w:sz="4" w:space="0" w:color="006666" w:themeColor="accent3"/>
          <w:left w:val="single" w:sz="4" w:space="0" w:color="006666" w:themeColor="accent3"/>
          <w:bottom w:val="single" w:sz="4" w:space="0" w:color="006666" w:themeColor="accent3"/>
          <w:right w:val="single" w:sz="4" w:space="0" w:color="006666" w:themeColor="accent3"/>
          <w:insideH w:val="single" w:sz="4" w:space="0" w:color="006666" w:themeColor="accent3"/>
          <w:insideV w:val="single" w:sz="4" w:space="0" w:color="006666" w:themeColor="accent3"/>
        </w:tblBorders>
        <w:tblLook w:val="04A0" w:firstRow="1" w:lastRow="0" w:firstColumn="1" w:lastColumn="0" w:noHBand="0" w:noVBand="1"/>
      </w:tblPr>
      <w:tblGrid>
        <w:gridCol w:w="2038"/>
        <w:gridCol w:w="7312"/>
      </w:tblGrid>
      <w:tr w:rsidR="001D792C" w14:paraId="08FE6FAB" w14:textId="77777777" w:rsidTr="006F1243">
        <w:trPr>
          <w:trHeight w:val="323"/>
        </w:trPr>
        <w:tc>
          <w:tcPr>
            <w:tcW w:w="1090" w:type="pct"/>
            <w:shd w:val="clear" w:color="auto" w:fill="008080"/>
          </w:tcPr>
          <w:p w14:paraId="4528574C" w14:textId="77777777" w:rsidR="001D792C" w:rsidRDefault="001D792C" w:rsidP="00AF6907">
            <w:pPr>
              <w:keepNext/>
              <w:keepLines/>
              <w:rPr>
                <w:rStyle w:val="Emphasis"/>
                <w:b/>
                <w:i w:val="0"/>
                <w:color w:val="FFFFFF" w:themeColor="background1"/>
                <w:sz w:val="20"/>
                <w:szCs w:val="20"/>
              </w:rPr>
            </w:pPr>
            <w:r>
              <w:rPr>
                <w:rStyle w:val="Emphasis"/>
                <w:b/>
                <w:i w:val="0"/>
                <w:color w:val="FFFFFF" w:themeColor="background1"/>
                <w:sz w:val="20"/>
                <w:szCs w:val="20"/>
              </w:rPr>
              <w:t>Opportunity</w:t>
            </w:r>
          </w:p>
        </w:tc>
        <w:tc>
          <w:tcPr>
            <w:tcW w:w="3910" w:type="pct"/>
            <w:shd w:val="clear" w:color="auto" w:fill="008080"/>
          </w:tcPr>
          <w:p w14:paraId="37A9D288" w14:textId="77777777" w:rsidR="001D792C" w:rsidRDefault="001D792C" w:rsidP="00AF6907">
            <w:pPr>
              <w:keepNext/>
              <w:keepLines/>
              <w:rPr>
                <w:rStyle w:val="Emphasis"/>
                <w:b/>
                <w:i w:val="0"/>
                <w:color w:val="FFFFFF" w:themeColor="background1"/>
                <w:sz w:val="20"/>
                <w:szCs w:val="20"/>
              </w:rPr>
            </w:pPr>
            <w:r>
              <w:rPr>
                <w:rStyle w:val="Emphasis"/>
                <w:b/>
                <w:i w:val="0"/>
                <w:color w:val="FFFFFF" w:themeColor="background1"/>
                <w:sz w:val="20"/>
                <w:szCs w:val="20"/>
              </w:rPr>
              <w:t>Information</w:t>
            </w:r>
          </w:p>
        </w:tc>
      </w:tr>
      <w:tr w:rsidR="00C37BAB" w14:paraId="4F56EEC9" w14:textId="77777777" w:rsidTr="006F1243">
        <w:trPr>
          <w:trHeight w:val="467"/>
        </w:trPr>
        <w:tc>
          <w:tcPr>
            <w:tcW w:w="1090" w:type="pct"/>
            <w:vAlign w:val="center"/>
          </w:tcPr>
          <w:p w14:paraId="1A2925DD" w14:textId="77777777" w:rsidR="00C37BAB" w:rsidRDefault="00C37BAB" w:rsidP="00AF6907">
            <w:pPr>
              <w:keepNext/>
              <w:keepLines/>
              <w:rPr>
                <w:b/>
                <w:bCs/>
                <w:sz w:val="20"/>
                <w:szCs w:val="20"/>
              </w:rPr>
            </w:pPr>
            <w:r>
              <w:rPr>
                <w:b/>
                <w:bCs/>
                <w:sz w:val="20"/>
                <w:szCs w:val="20"/>
              </w:rPr>
              <w:t>X</w:t>
            </w:r>
            <w:r w:rsidRPr="00B77E34">
              <w:rPr>
                <w:b/>
                <w:bCs/>
                <w:sz w:val="20"/>
                <w:szCs w:val="20"/>
              </w:rPr>
              <w:t>cel Energy</w:t>
            </w:r>
            <w:r w:rsidR="00404C28">
              <w:rPr>
                <w:b/>
                <w:bCs/>
                <w:sz w:val="20"/>
                <w:szCs w:val="20"/>
              </w:rPr>
              <w:t xml:space="preserve"> Prescriptive</w:t>
            </w:r>
            <w:r w:rsidRPr="00B77E34">
              <w:rPr>
                <w:b/>
                <w:bCs/>
                <w:sz w:val="20"/>
                <w:szCs w:val="20"/>
              </w:rPr>
              <w:t xml:space="preserve"> Rebates</w:t>
            </w:r>
          </w:p>
        </w:tc>
        <w:tc>
          <w:tcPr>
            <w:tcW w:w="3910" w:type="pct"/>
            <w:vAlign w:val="center"/>
          </w:tcPr>
          <w:p w14:paraId="379E4F5A" w14:textId="77777777" w:rsidR="00C37BAB" w:rsidRDefault="00C37BAB" w:rsidP="0030353B">
            <w:pPr>
              <w:keepNext/>
              <w:keepLines/>
              <w:rPr>
                <w:sz w:val="20"/>
                <w:szCs w:val="20"/>
              </w:rPr>
            </w:pPr>
            <w:hyperlink r:id="rId31" w:history="1">
              <w:r w:rsidRPr="00B77E34">
                <w:rPr>
                  <w:rStyle w:val="Hyperlink"/>
                  <w:sz w:val="20"/>
                  <w:szCs w:val="20"/>
                </w:rPr>
                <w:t>Xcel Energy</w:t>
              </w:r>
            </w:hyperlink>
            <w:r>
              <w:rPr>
                <w:sz w:val="20"/>
                <w:szCs w:val="20"/>
              </w:rPr>
              <w:t xml:space="preserve"> can help </w:t>
            </w:r>
            <w:r w:rsidR="00AE0331">
              <w:rPr>
                <w:sz w:val="20"/>
                <w:szCs w:val="20"/>
              </w:rPr>
              <w:t>owners</w:t>
            </w:r>
            <w:r>
              <w:rPr>
                <w:sz w:val="20"/>
                <w:szCs w:val="20"/>
              </w:rPr>
              <w:t xml:space="preserve"> reduce </w:t>
            </w:r>
            <w:r w:rsidRPr="00B77E34">
              <w:rPr>
                <w:sz w:val="20"/>
                <w:szCs w:val="20"/>
              </w:rPr>
              <w:t>energy use, maximize efficiencies, and minimize costs by providing a wide variety of energy efficiency, expertise, and rebate programs. Th</w:t>
            </w:r>
            <w:r>
              <w:rPr>
                <w:sz w:val="20"/>
                <w:szCs w:val="20"/>
              </w:rPr>
              <w:t>ese include: lighting; heating and cooling; motors</w:t>
            </w:r>
            <w:r w:rsidRPr="00B77E34">
              <w:rPr>
                <w:sz w:val="20"/>
                <w:szCs w:val="20"/>
              </w:rPr>
              <w:t xml:space="preserve">; and custom efficiency </w:t>
            </w:r>
            <w:r>
              <w:rPr>
                <w:sz w:val="20"/>
                <w:szCs w:val="20"/>
              </w:rPr>
              <w:t>programs (</w:t>
            </w:r>
            <w:r w:rsidRPr="00B77E34">
              <w:rPr>
                <w:sz w:val="20"/>
                <w:szCs w:val="20"/>
              </w:rPr>
              <w:t>for energy-efficiency investments that exceed standard options but are not covered under standard conservation programs).</w:t>
            </w:r>
            <w:r w:rsidR="009C5E1C" w:rsidRPr="009C5E1C">
              <w:rPr>
                <w:sz w:val="20"/>
                <w:szCs w:val="20"/>
              </w:rPr>
              <w:t xml:space="preserve"> </w:t>
            </w:r>
          </w:p>
        </w:tc>
      </w:tr>
      <w:tr w:rsidR="00C37BAB" w14:paraId="10D29AE4" w14:textId="77777777" w:rsidTr="006F1243">
        <w:trPr>
          <w:trHeight w:val="816"/>
        </w:trPr>
        <w:tc>
          <w:tcPr>
            <w:tcW w:w="1090" w:type="pct"/>
            <w:vAlign w:val="center"/>
          </w:tcPr>
          <w:p w14:paraId="55136C9C" w14:textId="77777777" w:rsidR="00C37BAB" w:rsidRDefault="00C37BAB" w:rsidP="00AF6907">
            <w:pPr>
              <w:keepNext/>
              <w:keepLines/>
              <w:rPr>
                <w:b/>
                <w:bCs/>
                <w:sz w:val="20"/>
                <w:szCs w:val="20"/>
              </w:rPr>
            </w:pPr>
            <w:r>
              <w:rPr>
                <w:b/>
                <w:bCs/>
                <w:sz w:val="20"/>
                <w:szCs w:val="20"/>
              </w:rPr>
              <w:t>Energy Smart Rebates, Incentives and Tax Credits</w:t>
            </w:r>
          </w:p>
        </w:tc>
        <w:tc>
          <w:tcPr>
            <w:tcW w:w="3910" w:type="pct"/>
            <w:vAlign w:val="center"/>
          </w:tcPr>
          <w:p w14:paraId="653A8379" w14:textId="28F186EF" w:rsidR="00C37BAB" w:rsidRDefault="00C37BAB" w:rsidP="00AF6907">
            <w:pPr>
              <w:keepNext/>
              <w:keepLines/>
              <w:rPr>
                <w:sz w:val="20"/>
                <w:szCs w:val="20"/>
              </w:rPr>
            </w:pPr>
            <w:hyperlink r:id="rId32" w:history="1">
              <w:proofErr w:type="spellStart"/>
              <w:r w:rsidRPr="00B77E34">
                <w:rPr>
                  <w:rStyle w:val="Hyperlink"/>
                  <w:sz w:val="20"/>
                  <w:szCs w:val="20"/>
                </w:rPr>
                <w:t>EnergySmart</w:t>
              </w:r>
              <w:proofErr w:type="spellEnd"/>
            </w:hyperlink>
            <w:r w:rsidRPr="00B77E34">
              <w:rPr>
                <w:sz w:val="20"/>
                <w:szCs w:val="20"/>
              </w:rPr>
              <w:t xml:space="preserve"> rebates, incentives and tax credits are available. In addition, the </w:t>
            </w:r>
            <w:r>
              <w:rPr>
                <w:sz w:val="20"/>
                <w:szCs w:val="20"/>
              </w:rPr>
              <w:t>city</w:t>
            </w:r>
            <w:r w:rsidRPr="00B77E34">
              <w:rPr>
                <w:sz w:val="20"/>
                <w:szCs w:val="20"/>
              </w:rPr>
              <w:t xml:space="preserve"> has added funds to develop new custom rebates for measures identified in the ordinance-required energy assessments, which will be available in 2016. For more information, call </w:t>
            </w:r>
            <w:r w:rsidRPr="00B77E34">
              <w:rPr>
                <w:rStyle w:val="baec5a81-e4d6-4674-97f3-e9220f0136c1"/>
                <w:sz w:val="20"/>
                <w:szCs w:val="20"/>
              </w:rPr>
              <w:t>303-441-1300</w:t>
            </w:r>
            <w:r w:rsidRPr="00B77E34">
              <w:rPr>
                <w:sz w:val="20"/>
                <w:szCs w:val="20"/>
              </w:rPr>
              <w:t>.</w:t>
            </w:r>
          </w:p>
        </w:tc>
      </w:tr>
      <w:tr w:rsidR="00C37BAB" w14:paraId="1F4F4F8F" w14:textId="77777777" w:rsidTr="006F1243">
        <w:trPr>
          <w:trHeight w:val="816"/>
        </w:trPr>
        <w:tc>
          <w:tcPr>
            <w:tcW w:w="1090" w:type="pct"/>
            <w:vAlign w:val="center"/>
          </w:tcPr>
          <w:p w14:paraId="7A8CDFD0" w14:textId="77777777" w:rsidR="00C37BAB" w:rsidRDefault="00C37BAB" w:rsidP="00AF6907">
            <w:pPr>
              <w:keepNext/>
              <w:keepLines/>
              <w:rPr>
                <w:b/>
                <w:bCs/>
                <w:sz w:val="20"/>
                <w:szCs w:val="20"/>
              </w:rPr>
            </w:pPr>
            <w:r>
              <w:rPr>
                <w:b/>
                <w:bCs/>
                <w:sz w:val="20"/>
                <w:szCs w:val="20"/>
              </w:rPr>
              <w:t>Solar Energy Rebates</w:t>
            </w:r>
          </w:p>
        </w:tc>
        <w:tc>
          <w:tcPr>
            <w:tcW w:w="3910" w:type="pct"/>
            <w:vAlign w:val="center"/>
          </w:tcPr>
          <w:p w14:paraId="0973173E" w14:textId="3C2E8D1A" w:rsidR="00C37BAB" w:rsidRDefault="00C37BAB" w:rsidP="00AF6907">
            <w:pPr>
              <w:keepNext/>
              <w:keepLines/>
              <w:rPr>
                <w:sz w:val="20"/>
                <w:szCs w:val="20"/>
              </w:rPr>
            </w:pPr>
            <w:hyperlink r:id="rId33" w:history="1">
              <w:r w:rsidRPr="00B77E34">
                <w:rPr>
                  <w:rStyle w:val="Hyperlink"/>
                  <w:sz w:val="20"/>
                  <w:szCs w:val="20"/>
                </w:rPr>
                <w:t>Solar Rebates</w:t>
              </w:r>
            </w:hyperlink>
            <w:r>
              <w:rPr>
                <w:sz w:val="20"/>
                <w:szCs w:val="20"/>
              </w:rPr>
              <w:t xml:space="preserve"> are available to </w:t>
            </w:r>
            <w:r w:rsidRPr="00B77E34">
              <w:rPr>
                <w:sz w:val="20"/>
                <w:szCs w:val="20"/>
              </w:rPr>
              <w:t>Boulder residents and businesses that have installed solar electric or solar thermal (hot water) systems on thei</w:t>
            </w:r>
            <w:r>
              <w:rPr>
                <w:sz w:val="20"/>
                <w:szCs w:val="20"/>
              </w:rPr>
              <w:t xml:space="preserve">r property. </w:t>
            </w:r>
            <w:r w:rsidRPr="00B77E34">
              <w:rPr>
                <w:sz w:val="20"/>
                <w:szCs w:val="20"/>
              </w:rPr>
              <w:t xml:space="preserve">The </w:t>
            </w:r>
            <w:r>
              <w:rPr>
                <w:sz w:val="20"/>
                <w:szCs w:val="20"/>
              </w:rPr>
              <w:t>city</w:t>
            </w:r>
            <w:r w:rsidRPr="00B77E34">
              <w:rPr>
                <w:sz w:val="20"/>
                <w:szCs w:val="20"/>
              </w:rPr>
              <w:t xml:space="preserve"> may rebate approximately 15 percent of the </w:t>
            </w:r>
            <w:r>
              <w:rPr>
                <w:sz w:val="20"/>
                <w:szCs w:val="20"/>
              </w:rPr>
              <w:t>city</w:t>
            </w:r>
            <w:r w:rsidRPr="00B77E34">
              <w:rPr>
                <w:sz w:val="20"/>
                <w:szCs w:val="20"/>
              </w:rPr>
              <w:t xml:space="preserve"> sales and use tax paid on materials and permits for the solar installation. To be eligible, taxpayers must file a rebate application within 12 months of the </w:t>
            </w:r>
            <w:r>
              <w:rPr>
                <w:sz w:val="20"/>
                <w:szCs w:val="20"/>
              </w:rPr>
              <w:t>city</w:t>
            </w:r>
            <w:r w:rsidRPr="00B77E34">
              <w:rPr>
                <w:sz w:val="20"/>
                <w:szCs w:val="20"/>
              </w:rPr>
              <w:t>'s final inspection.</w:t>
            </w:r>
          </w:p>
        </w:tc>
      </w:tr>
      <w:tr w:rsidR="00C37BAB" w14:paraId="2BB27F0E" w14:textId="77777777" w:rsidTr="006F1243">
        <w:trPr>
          <w:trHeight w:val="816"/>
        </w:trPr>
        <w:tc>
          <w:tcPr>
            <w:tcW w:w="1090" w:type="pct"/>
            <w:vAlign w:val="center"/>
          </w:tcPr>
          <w:p w14:paraId="40ABF6F8" w14:textId="77777777" w:rsidR="00C37BAB" w:rsidRDefault="00C37BAB" w:rsidP="00AF6907">
            <w:pPr>
              <w:keepNext/>
              <w:keepLines/>
              <w:rPr>
                <w:b/>
                <w:bCs/>
                <w:sz w:val="20"/>
                <w:szCs w:val="20"/>
              </w:rPr>
            </w:pPr>
            <w:r>
              <w:rPr>
                <w:b/>
                <w:bCs/>
                <w:sz w:val="20"/>
                <w:szCs w:val="20"/>
              </w:rPr>
              <w:t>Solar Grants</w:t>
            </w:r>
          </w:p>
        </w:tc>
        <w:tc>
          <w:tcPr>
            <w:tcW w:w="3910" w:type="pct"/>
            <w:vAlign w:val="center"/>
          </w:tcPr>
          <w:p w14:paraId="202E4FA7" w14:textId="3331664F" w:rsidR="00C37BAB" w:rsidRPr="007C61D9" w:rsidRDefault="00C37BAB" w:rsidP="00AF6907">
            <w:pPr>
              <w:keepNext/>
              <w:keepLines/>
              <w:rPr>
                <w:sz w:val="20"/>
                <w:szCs w:val="20"/>
              </w:rPr>
            </w:pPr>
            <w:hyperlink r:id="rId34" w:tooltip="Solar Rebates and Grants" w:history="1">
              <w:r w:rsidRPr="007C61D9">
                <w:rPr>
                  <w:rStyle w:val="Hyperlink"/>
                  <w:sz w:val="20"/>
                  <w:szCs w:val="20"/>
                </w:rPr>
                <w:t>Solar Grants</w:t>
              </w:r>
            </w:hyperlink>
            <w:r>
              <w:rPr>
                <w:sz w:val="20"/>
                <w:szCs w:val="20"/>
              </w:rPr>
              <w:t xml:space="preserve"> are available </w:t>
            </w:r>
            <w:r w:rsidRPr="007C61D9">
              <w:rPr>
                <w:sz w:val="20"/>
                <w:szCs w:val="20"/>
              </w:rPr>
              <w:t xml:space="preserve">for installation of solar electric and solar thermal (hot water) systems for: site-based nonprofit organization and nonprofit organizations leasing city-owned facilities; low- or moderate-income housing owned by nonprofits; and individual residences that are part of an affordable housing program. These grants will only apply to buildings owned or leased by nonprofits with lease terms of twenty years or more. Grants are issued twice a year with applications accepted on a rolling basis. There is no maximum grant amount; however, in most cases, grants will be no more than 50 % of the total project cost after rebates, incentives and tax credits. </w:t>
            </w:r>
            <w:r w:rsidRPr="007C61D9">
              <w:rPr>
                <w:rStyle w:val="Emphasis"/>
                <w:sz w:val="20"/>
                <w:szCs w:val="20"/>
              </w:rPr>
              <w:t>Grants are subject to funding availability. Income tax must be paid on the grant amount for the year received. </w:t>
            </w:r>
          </w:p>
        </w:tc>
      </w:tr>
      <w:tr w:rsidR="00C37BAB" w14:paraId="5BAC25C8" w14:textId="77777777" w:rsidTr="006F1243">
        <w:trPr>
          <w:trHeight w:val="816"/>
        </w:trPr>
        <w:tc>
          <w:tcPr>
            <w:tcW w:w="1090" w:type="pct"/>
            <w:vAlign w:val="center"/>
          </w:tcPr>
          <w:p w14:paraId="79C0F733" w14:textId="77777777" w:rsidR="00C37BAB" w:rsidRDefault="00C37BAB" w:rsidP="00AF6907">
            <w:pPr>
              <w:keepNext/>
              <w:keepLines/>
              <w:rPr>
                <w:b/>
                <w:bCs/>
                <w:sz w:val="20"/>
                <w:szCs w:val="20"/>
              </w:rPr>
            </w:pPr>
            <w:r>
              <w:rPr>
                <w:b/>
                <w:bCs/>
                <w:sz w:val="20"/>
                <w:szCs w:val="20"/>
              </w:rPr>
              <w:t>Elevations Energy Loans</w:t>
            </w:r>
          </w:p>
        </w:tc>
        <w:tc>
          <w:tcPr>
            <w:tcW w:w="3910" w:type="pct"/>
            <w:vAlign w:val="center"/>
          </w:tcPr>
          <w:p w14:paraId="7AD86BCA" w14:textId="1DFEE03A" w:rsidR="00C37BAB" w:rsidRPr="007C61D9" w:rsidRDefault="00C37BAB" w:rsidP="00AF6907">
            <w:pPr>
              <w:keepNext/>
              <w:keepLines/>
              <w:rPr>
                <w:sz w:val="20"/>
                <w:szCs w:val="20"/>
              </w:rPr>
            </w:pPr>
            <w:hyperlink r:id="rId35" w:history="1">
              <w:r w:rsidRPr="007C61D9">
                <w:rPr>
                  <w:rStyle w:val="Hyperlink"/>
                  <w:sz w:val="20"/>
                  <w:szCs w:val="20"/>
                </w:rPr>
                <w:t>Elevations Energy Loans</w:t>
              </w:r>
            </w:hyperlink>
            <w:r w:rsidRPr="007C61D9">
              <w:rPr>
                <w:sz w:val="20"/>
                <w:szCs w:val="20"/>
              </w:rPr>
              <w:t xml:space="preserve"> are available through</w:t>
            </w:r>
            <w:r>
              <w:rPr>
                <w:sz w:val="20"/>
                <w:szCs w:val="20"/>
              </w:rPr>
              <w:t xml:space="preserve"> </w:t>
            </w:r>
            <w:r w:rsidRPr="007C61D9">
              <w:rPr>
                <w:sz w:val="20"/>
                <w:szCs w:val="20"/>
              </w:rPr>
              <w:t>Energy Smart and Elevations Credit Union</w:t>
            </w:r>
            <w:r>
              <w:rPr>
                <w:sz w:val="20"/>
                <w:szCs w:val="20"/>
              </w:rPr>
              <w:t>, who</w:t>
            </w:r>
            <w:r w:rsidRPr="007C61D9">
              <w:rPr>
                <w:sz w:val="20"/>
                <w:szCs w:val="20"/>
              </w:rPr>
              <w:t xml:space="preserve"> are working together to offer a wide range of low-interest loans for a variety of energy efficiency and renewable energy upgrades.</w:t>
            </w:r>
          </w:p>
        </w:tc>
      </w:tr>
      <w:tr w:rsidR="00C37BAB" w14:paraId="15B60D02" w14:textId="77777777" w:rsidTr="006F1243">
        <w:trPr>
          <w:trHeight w:val="816"/>
        </w:trPr>
        <w:tc>
          <w:tcPr>
            <w:tcW w:w="1090" w:type="pct"/>
            <w:vAlign w:val="center"/>
          </w:tcPr>
          <w:p w14:paraId="76325E2B" w14:textId="77777777" w:rsidR="009021C3" w:rsidRPr="009021C3" w:rsidRDefault="009021C3" w:rsidP="00AF6907">
            <w:pPr>
              <w:keepNext/>
              <w:keepLines/>
              <w:rPr>
                <w:b/>
                <w:bCs/>
                <w:sz w:val="20"/>
                <w:szCs w:val="20"/>
              </w:rPr>
            </w:pPr>
            <w:r w:rsidRPr="009021C3">
              <w:rPr>
                <w:b/>
                <w:bCs/>
                <w:sz w:val="20"/>
                <w:szCs w:val="20"/>
              </w:rPr>
              <w:t>Colorado Commercial Property Assessed Clean Energy (C-PACE) Program</w:t>
            </w:r>
          </w:p>
          <w:p w14:paraId="055382C6" w14:textId="77777777" w:rsidR="00C37BAB" w:rsidRDefault="009021C3" w:rsidP="00AF6907">
            <w:pPr>
              <w:keepNext/>
              <w:keepLines/>
              <w:rPr>
                <w:bCs/>
                <w:sz w:val="20"/>
                <w:szCs w:val="20"/>
              </w:rPr>
            </w:pPr>
            <w:r w:rsidRPr="009021C3" w:rsidDel="009021C3">
              <w:rPr>
                <w:b/>
                <w:bCs/>
                <w:sz w:val="20"/>
                <w:szCs w:val="20"/>
              </w:rPr>
              <w:t xml:space="preserve"> </w:t>
            </w:r>
          </w:p>
        </w:tc>
        <w:tc>
          <w:tcPr>
            <w:tcW w:w="3910" w:type="pct"/>
            <w:vAlign w:val="center"/>
          </w:tcPr>
          <w:p w14:paraId="6FCC8FD0" w14:textId="26FC2F83" w:rsidR="00C37BAB" w:rsidRDefault="00C37BAB" w:rsidP="00AF6907">
            <w:pPr>
              <w:keepNext/>
              <w:keepLines/>
              <w:rPr>
                <w:sz w:val="20"/>
                <w:szCs w:val="20"/>
              </w:rPr>
            </w:pPr>
            <w:hyperlink r:id="rId36" w:tooltip="COMMERCIAL PROPERTY ASSESSED CLEAN ENERGY (COPACE) " w:history="1">
              <w:r w:rsidRPr="00207F97">
                <w:rPr>
                  <w:rStyle w:val="Hyperlink"/>
                  <w:sz w:val="20"/>
                  <w:szCs w:val="20"/>
                </w:rPr>
                <w:t>C-PACE</w:t>
              </w:r>
            </w:hyperlink>
            <w:r w:rsidRPr="00207F97">
              <w:rPr>
                <w:sz w:val="20"/>
                <w:szCs w:val="20"/>
              </w:rPr>
              <w:t xml:space="preserve"> is an innovative financing mechanism that helps commercial, industrial and multi-family property owners access affordable, long-term financing for energy upgrades. C-PACE allows building owners to finance (for up to 20 years) qualifying energy efficiency and clean energy improvements through a voluntary assessment on their property tax bill. Property owners pay for the improvements over time through this additional charge on their property tax bill. Capital provided under the C-PACE program is secured by a lien on the property, so low-interest capital can be raised from the private sector.</w:t>
            </w:r>
          </w:p>
        </w:tc>
      </w:tr>
    </w:tbl>
    <w:p w14:paraId="041DD5AE" w14:textId="77777777" w:rsidR="001D792C" w:rsidRDefault="001D792C" w:rsidP="001D792C">
      <w:bookmarkStart w:id="393" w:name="_Toc445462096"/>
    </w:p>
    <w:p w14:paraId="079B206C" w14:textId="77777777" w:rsidR="001D792C" w:rsidRPr="00E226D9" w:rsidRDefault="00AF6907" w:rsidP="001D792C">
      <w:r>
        <w:t xml:space="preserve">If the building receives fuel from an </w:t>
      </w:r>
      <w:r w:rsidR="001D792C" w:rsidRPr="00546048">
        <w:t xml:space="preserve">energy provider </w:t>
      </w:r>
      <w:r>
        <w:t>other than</w:t>
      </w:r>
      <w:r w:rsidR="001D792C" w:rsidRPr="00546048">
        <w:t xml:space="preserve"> Xcel Energy, contact th</w:t>
      </w:r>
      <w:r>
        <w:t>at provider</w:t>
      </w:r>
      <w:r w:rsidR="001D792C" w:rsidRPr="00546048">
        <w:t xml:space="preserve"> directly and ask about their energy efficiency programs.</w:t>
      </w:r>
      <w:r w:rsidR="00B70ED1">
        <w:t xml:space="preserve"> </w:t>
      </w:r>
      <w:r w:rsidR="001D792C" w:rsidRPr="00E226D9">
        <w:t xml:space="preserve">The </w:t>
      </w:r>
      <w:hyperlink r:id="rId37" w:history="1">
        <w:r w:rsidR="001D792C" w:rsidRPr="00E226D9">
          <w:rPr>
            <w:rStyle w:val="Hyperlink"/>
          </w:rPr>
          <w:t>Colorado Energy Office</w:t>
        </w:r>
      </w:hyperlink>
      <w:r w:rsidR="001D792C" w:rsidRPr="00E226D9">
        <w:t xml:space="preserve"> also provides information and links to other funding sources such as the Green Colorado Credit Reserve (GCCR), and other special programs for government buildings and schools. </w:t>
      </w:r>
    </w:p>
    <w:p w14:paraId="65378927" w14:textId="77777777" w:rsidR="001D792C" w:rsidRDefault="00486BA4" w:rsidP="001D792C">
      <w:r>
        <w:t xml:space="preserve">Also, </w:t>
      </w:r>
      <w:r w:rsidR="001D792C" w:rsidRPr="00E226D9">
        <w:t>Energy Performance Contracting (EPC)</w:t>
      </w:r>
      <w:r w:rsidR="001D792C">
        <w:t>, a turnkey approach to making upgrades,</w:t>
      </w:r>
      <w:r w:rsidR="001D792C" w:rsidRPr="00E226D9">
        <w:t xml:space="preserve"> is available for larger commercial buildings and projects. EPC allows </w:t>
      </w:r>
      <w:r w:rsidR="00AE0331">
        <w:t>building owners</w:t>
      </w:r>
      <w:r w:rsidR="001D792C" w:rsidRPr="00E226D9">
        <w:t xml:space="preserve"> to finance assessment, design, implementation and measurement and verification phases of project</w:t>
      </w:r>
      <w:r w:rsidR="00AE0331">
        <w:t>s</w:t>
      </w:r>
      <w:r w:rsidR="001D792C" w:rsidRPr="00E226D9">
        <w:t xml:space="preserve"> through a company that is reimbursed through the energy cost savings realized from the upgrades. If </w:t>
      </w:r>
      <w:r w:rsidR="00AE0331">
        <w:t>owners</w:t>
      </w:r>
      <w:r w:rsidR="001D792C" w:rsidRPr="00E226D9">
        <w:t xml:space="preserve"> </w:t>
      </w:r>
      <w:r w:rsidR="00AE0331">
        <w:t>prefer this turn-key approach, they</w:t>
      </w:r>
      <w:r w:rsidR="001D792C" w:rsidRPr="00E226D9">
        <w:t xml:space="preserve"> can start with the </w:t>
      </w:r>
      <w:hyperlink r:id="rId38" w:history="1">
        <w:r w:rsidR="001D792C" w:rsidRPr="00BB573B">
          <w:rPr>
            <w:rStyle w:val="Hyperlink"/>
          </w:rPr>
          <w:t>Colorado Energy Office list</w:t>
        </w:r>
      </w:hyperlink>
      <w:r w:rsidR="001D792C" w:rsidRPr="00E226D9">
        <w:t xml:space="preserve"> of Energy Services </w:t>
      </w:r>
      <w:r w:rsidR="001D792C">
        <w:t xml:space="preserve">Companies (ESCO) that </w:t>
      </w:r>
      <w:r w:rsidR="0035185F">
        <w:t>provide</w:t>
      </w:r>
      <w:r w:rsidR="001D792C">
        <w:t xml:space="preserve"> </w:t>
      </w:r>
      <w:r w:rsidR="001D792C" w:rsidRPr="00E226D9">
        <w:t>these services.</w:t>
      </w:r>
      <w:r w:rsidR="001D792C">
        <w:t xml:space="preserve"> </w:t>
      </w:r>
    </w:p>
    <w:p w14:paraId="1E9586AB" w14:textId="11D7E2BD" w:rsidR="001D792C" w:rsidRDefault="00592052" w:rsidP="005E4DDE">
      <w:pPr>
        <w:pStyle w:val="Heading2"/>
      </w:pPr>
      <w:bookmarkStart w:id="394" w:name="_Ref446942600"/>
      <w:bookmarkStart w:id="395" w:name="_Toc530563760"/>
      <w:r>
        <w:lastRenderedPageBreak/>
        <w:t>2.4</w:t>
      </w:r>
      <w:r>
        <w:tab/>
      </w:r>
      <w:r w:rsidR="001D792C" w:rsidRPr="005E4DDE">
        <w:t>Select</w:t>
      </w:r>
      <w:r w:rsidR="00A6232A" w:rsidRPr="005E4DDE">
        <w:t>ing</w:t>
      </w:r>
      <w:r w:rsidR="001D792C" w:rsidRPr="0003491F">
        <w:t xml:space="preserve"> a Service Provider</w:t>
      </w:r>
      <w:bookmarkEnd w:id="393"/>
      <w:bookmarkEnd w:id="394"/>
      <w:bookmarkEnd w:id="395"/>
    </w:p>
    <w:p w14:paraId="695C1E5E" w14:textId="6561BD21" w:rsidR="001D792C" w:rsidRPr="00D9689C" w:rsidRDefault="00592052" w:rsidP="001D792C">
      <w:r>
        <w:t>To comply with the</w:t>
      </w:r>
      <w:r w:rsidR="001D792C">
        <w:t xml:space="preserve"> energy assessment</w:t>
      </w:r>
      <w:r w:rsidR="00A6232A">
        <w:t xml:space="preserve"> or</w:t>
      </w:r>
      <w:r w:rsidR="001D792C">
        <w:t xml:space="preserve"> RCx study </w:t>
      </w:r>
      <w:r>
        <w:t xml:space="preserve">requirements, building owners must use a qualified service provider. </w:t>
      </w:r>
      <w:r w:rsidR="001D792C">
        <w:t xml:space="preserve">The following steps will help </w:t>
      </w:r>
      <w:r w:rsidR="00AE0331">
        <w:t>an owner</w:t>
      </w:r>
      <w:r w:rsidR="001D792C">
        <w:t xml:space="preserve"> select the best provider for </w:t>
      </w:r>
      <w:r w:rsidR="00AE0331">
        <w:t>their</w:t>
      </w:r>
      <w:r w:rsidR="001D792C">
        <w:t xml:space="preserve"> needs:</w:t>
      </w:r>
    </w:p>
    <w:p w14:paraId="0E05EA99" w14:textId="0C0C611F" w:rsidR="001D792C" w:rsidRDefault="001D792C" w:rsidP="006C70F7">
      <w:pPr>
        <w:pStyle w:val="ListParagraph"/>
        <w:numPr>
          <w:ilvl w:val="0"/>
          <w:numId w:val="32"/>
        </w:numPr>
      </w:pPr>
      <w:r w:rsidRPr="00FF5B26">
        <w:t xml:space="preserve">Review the </w:t>
      </w:r>
      <w:r w:rsidR="00F95C26">
        <w:t>c</w:t>
      </w:r>
      <w:r>
        <w:t>ity</w:t>
      </w:r>
      <w:r w:rsidRPr="00FF5B26">
        <w:t xml:space="preserve">’s </w:t>
      </w:r>
      <w:hyperlink r:id="rId39" w:history="1">
        <w:r w:rsidR="00BF4B73" w:rsidRPr="00A5420D">
          <w:rPr>
            <w:rStyle w:val="Hyperlink"/>
          </w:rPr>
          <w:t>q</w:t>
        </w:r>
        <w:r w:rsidRPr="00A5420D">
          <w:rPr>
            <w:rStyle w:val="Hyperlink"/>
          </w:rPr>
          <w:t xml:space="preserve">ualified </w:t>
        </w:r>
        <w:r w:rsidR="00BF4B73" w:rsidRPr="00A5420D">
          <w:rPr>
            <w:rStyle w:val="Hyperlink"/>
          </w:rPr>
          <w:t>s</w:t>
        </w:r>
        <w:r w:rsidRPr="00A5420D">
          <w:rPr>
            <w:rStyle w:val="Hyperlink"/>
          </w:rPr>
          <w:t xml:space="preserve">ervice </w:t>
        </w:r>
        <w:r w:rsidR="00BF4B73" w:rsidRPr="00A5420D">
          <w:rPr>
            <w:rStyle w:val="Hyperlink"/>
          </w:rPr>
          <w:t>p</w:t>
        </w:r>
        <w:r w:rsidRPr="00A5420D">
          <w:rPr>
            <w:rStyle w:val="Hyperlink"/>
          </w:rPr>
          <w:t xml:space="preserve">rovider </w:t>
        </w:r>
        <w:r w:rsidR="00BF4B73" w:rsidRPr="00A5420D">
          <w:rPr>
            <w:rStyle w:val="Hyperlink"/>
          </w:rPr>
          <w:t>l</w:t>
        </w:r>
        <w:r w:rsidRPr="00A5420D">
          <w:rPr>
            <w:rStyle w:val="Hyperlink"/>
          </w:rPr>
          <w:t>ist</w:t>
        </w:r>
      </w:hyperlink>
      <w:r w:rsidRPr="00FF5B26">
        <w:t xml:space="preserve">. All service providers offering energy assessments and RCx services for compliance purposes must be on the </w:t>
      </w:r>
      <w:r w:rsidR="00F95C26">
        <w:t>c</w:t>
      </w:r>
      <w:r>
        <w:t>ity</w:t>
      </w:r>
      <w:r w:rsidRPr="00FF5B26">
        <w:t xml:space="preserve">’s </w:t>
      </w:r>
      <w:r w:rsidR="00BF4B73">
        <w:t>q</w:t>
      </w:r>
      <w:r w:rsidR="00BF4B73" w:rsidRPr="0003491F">
        <w:t xml:space="preserve">ualified </w:t>
      </w:r>
      <w:r w:rsidR="00BF4B73">
        <w:t>s</w:t>
      </w:r>
      <w:r w:rsidR="00BF4B73" w:rsidRPr="0003491F">
        <w:t xml:space="preserve">ervice </w:t>
      </w:r>
      <w:r w:rsidR="00BF4B73">
        <w:t>p</w:t>
      </w:r>
      <w:r w:rsidR="00BF4B73" w:rsidRPr="0003491F">
        <w:t xml:space="preserve">rovider </w:t>
      </w:r>
      <w:r w:rsidR="00BF4B73">
        <w:t>l</w:t>
      </w:r>
      <w:r w:rsidR="00BF4B73" w:rsidRPr="0003491F">
        <w:t>ist</w:t>
      </w:r>
      <w:r w:rsidRPr="00FF5B26">
        <w:t xml:space="preserve">. </w:t>
      </w:r>
    </w:p>
    <w:p w14:paraId="14059905" w14:textId="77777777" w:rsidR="001D792C" w:rsidRDefault="001D792C" w:rsidP="006C70F7">
      <w:pPr>
        <w:pStyle w:val="ListParagraph"/>
        <w:numPr>
          <w:ilvl w:val="1"/>
          <w:numId w:val="32"/>
        </w:numPr>
      </w:pPr>
      <w:r>
        <w:t xml:space="preserve">Lighting upgrade service providers do not need to be on </w:t>
      </w:r>
      <w:r w:rsidR="00F95C26">
        <w:t>the c</w:t>
      </w:r>
      <w:r>
        <w:t xml:space="preserve">ity’s </w:t>
      </w:r>
      <w:r w:rsidR="00BF4B73">
        <w:t>q</w:t>
      </w:r>
      <w:r w:rsidR="00BF4B73" w:rsidRPr="0003491F">
        <w:t xml:space="preserve">ualified </w:t>
      </w:r>
      <w:r w:rsidR="00BF4B73">
        <w:t>l</w:t>
      </w:r>
      <w:r w:rsidR="00BF4B73" w:rsidRPr="0003491F">
        <w:t>ist</w:t>
      </w:r>
      <w:r>
        <w:t xml:space="preserve">. Building owners can use any provider they choose to meet the </w:t>
      </w:r>
      <w:r w:rsidR="00F95C26">
        <w:t>c</w:t>
      </w:r>
      <w:r>
        <w:t>ity’s lighting requirements.</w:t>
      </w:r>
    </w:p>
    <w:p w14:paraId="35CC1974" w14:textId="77777777" w:rsidR="003E4891" w:rsidRDefault="003E4891" w:rsidP="00F2032D">
      <w:pPr>
        <w:pStyle w:val="ListParagraph"/>
        <w:numPr>
          <w:ilvl w:val="0"/>
          <w:numId w:val="32"/>
        </w:numPr>
      </w:pPr>
      <w:r>
        <w:t xml:space="preserve">Define the </w:t>
      </w:r>
      <w:r w:rsidR="000B6D23">
        <w:t xml:space="preserve">budget, </w:t>
      </w:r>
      <w:r>
        <w:t xml:space="preserve">scope of work </w:t>
      </w:r>
      <w:r w:rsidR="000B6D23">
        <w:t xml:space="preserve">and time frame of the effort </w:t>
      </w:r>
      <w:r>
        <w:t xml:space="preserve">– </w:t>
      </w:r>
      <w:r w:rsidR="000B6D23">
        <w:t>including which specific</w:t>
      </w:r>
      <w:r>
        <w:t xml:space="preserve"> services, building areas and systems you want included in the effort. </w:t>
      </w:r>
    </w:p>
    <w:p w14:paraId="71F9394D" w14:textId="77777777" w:rsidR="001D792C" w:rsidRPr="00F2032D" w:rsidRDefault="001D792C" w:rsidP="006C70F7">
      <w:pPr>
        <w:pStyle w:val="ListParagraph"/>
        <w:numPr>
          <w:ilvl w:val="0"/>
          <w:numId w:val="32"/>
        </w:numPr>
      </w:pPr>
      <w:r w:rsidRPr="00F2032D">
        <w:t xml:space="preserve">Request </w:t>
      </w:r>
      <w:r w:rsidR="00A6232A">
        <w:t xml:space="preserve">multiple </w:t>
      </w:r>
      <w:r w:rsidRPr="00F2032D">
        <w:t>quotes from service providers</w:t>
      </w:r>
      <w:r w:rsidR="000B6D23" w:rsidRPr="00F2032D">
        <w:t xml:space="preserve"> based on your requirements.</w:t>
      </w:r>
    </w:p>
    <w:p w14:paraId="011827BA" w14:textId="77777777" w:rsidR="004F53D2" w:rsidRDefault="00AE0331" w:rsidP="006C70F7">
      <w:pPr>
        <w:pStyle w:val="ListParagraph"/>
        <w:numPr>
          <w:ilvl w:val="1"/>
          <w:numId w:val="32"/>
        </w:numPr>
      </w:pPr>
      <w:r>
        <w:t>Owners</w:t>
      </w:r>
      <w:r w:rsidR="004F53D2">
        <w:t xml:space="preserve"> can request quotes </w:t>
      </w:r>
      <w:r w:rsidR="00A3189D">
        <w:t>for</w:t>
      </w:r>
      <w:r w:rsidR="004F53D2">
        <w:t xml:space="preserve"> multiple services, such as lighting upgrades, or concurrent services, such as the energy assessment and RCx combined.</w:t>
      </w:r>
    </w:p>
    <w:p w14:paraId="16B8BBA7" w14:textId="77777777" w:rsidR="001D792C" w:rsidRPr="00F2032D" w:rsidRDefault="001D792C" w:rsidP="006C70F7">
      <w:pPr>
        <w:pStyle w:val="ListParagraph"/>
        <w:numPr>
          <w:ilvl w:val="1"/>
          <w:numId w:val="32"/>
        </w:numPr>
      </w:pPr>
      <w:r w:rsidRPr="00F2032D">
        <w:t>Ask the questions outlined below</w:t>
      </w:r>
      <w:r w:rsidR="004F53D2" w:rsidRPr="00F2032D">
        <w:t>, compare quotes and m</w:t>
      </w:r>
      <w:r w:rsidRPr="00F2032D">
        <w:t>ake a selection</w:t>
      </w:r>
      <w:r w:rsidR="003B54FD" w:rsidRPr="00F2032D">
        <w:t xml:space="preserve"> based on which provider best meets your specific criteria. </w:t>
      </w:r>
    </w:p>
    <w:tbl>
      <w:tblPr>
        <w:tblStyle w:val="TableGrid"/>
        <w:tblpPr w:leftFromText="180" w:rightFromText="180" w:vertAnchor="text" w:horzAnchor="page" w:tblpX="1922" w:tblpY="133"/>
        <w:tblW w:w="0" w:type="auto"/>
        <w:tblLook w:val="04A0" w:firstRow="1" w:lastRow="0" w:firstColumn="1" w:lastColumn="0" w:noHBand="0" w:noVBand="1"/>
      </w:tblPr>
      <w:tblGrid>
        <w:gridCol w:w="9080"/>
      </w:tblGrid>
      <w:tr w:rsidR="001D792C" w14:paraId="20425347" w14:textId="77777777" w:rsidTr="005E4DDE">
        <w:trPr>
          <w:trHeight w:val="800"/>
        </w:trPr>
        <w:tc>
          <w:tcPr>
            <w:tcW w:w="9080" w:type="dxa"/>
            <w:shd w:val="clear" w:color="auto" w:fill="F2F2F2" w:themeFill="background1" w:themeFillShade="F2"/>
          </w:tcPr>
          <w:p w14:paraId="4803A82C" w14:textId="77777777" w:rsidR="001D792C" w:rsidRPr="006764CB" w:rsidRDefault="001D792C" w:rsidP="006F1243">
            <w:pPr>
              <w:spacing w:after="160" w:line="259" w:lineRule="auto"/>
              <w:rPr>
                <w:b/>
                <w:i/>
                <w:szCs w:val="21"/>
              </w:rPr>
            </w:pPr>
            <w:r w:rsidRPr="006764CB">
              <w:rPr>
                <w:b/>
                <w:i/>
                <w:szCs w:val="21"/>
              </w:rPr>
              <w:t xml:space="preserve">Helpful Questions to Consider When Evaluating </w:t>
            </w:r>
            <w:r w:rsidR="00730620">
              <w:rPr>
                <w:b/>
                <w:i/>
                <w:szCs w:val="21"/>
              </w:rPr>
              <w:t xml:space="preserve">Service </w:t>
            </w:r>
            <w:r w:rsidRPr="006764CB">
              <w:rPr>
                <w:b/>
                <w:i/>
                <w:szCs w:val="21"/>
              </w:rPr>
              <w:t>Providers:</w:t>
            </w:r>
          </w:p>
          <w:p w14:paraId="4F576F4C" w14:textId="77777777" w:rsidR="001D792C" w:rsidRPr="00BF4B73" w:rsidRDefault="001D792C" w:rsidP="006E73F1">
            <w:pPr>
              <w:pStyle w:val="ListParagraph"/>
              <w:numPr>
                <w:ilvl w:val="0"/>
                <w:numId w:val="14"/>
              </w:numPr>
              <w:spacing w:after="160" w:line="259" w:lineRule="auto"/>
              <w:rPr>
                <w:i/>
                <w:szCs w:val="21"/>
              </w:rPr>
            </w:pPr>
            <w:r w:rsidRPr="006764CB">
              <w:rPr>
                <w:i/>
                <w:szCs w:val="21"/>
              </w:rPr>
              <w:t xml:space="preserve">Is the </w:t>
            </w:r>
            <w:r w:rsidR="007C4B86">
              <w:rPr>
                <w:i/>
                <w:szCs w:val="21"/>
              </w:rPr>
              <w:t>provider</w:t>
            </w:r>
            <w:r w:rsidRPr="006764CB">
              <w:rPr>
                <w:i/>
                <w:szCs w:val="21"/>
              </w:rPr>
              <w:t xml:space="preserve"> </w:t>
            </w:r>
            <w:r w:rsidR="00BF4B73">
              <w:rPr>
                <w:i/>
                <w:szCs w:val="21"/>
              </w:rPr>
              <w:t xml:space="preserve">on the </w:t>
            </w:r>
            <w:r w:rsidR="00BF4B73" w:rsidRPr="00BF4B73">
              <w:rPr>
                <w:i/>
              </w:rPr>
              <w:t xml:space="preserve">city’s </w:t>
            </w:r>
            <w:hyperlink r:id="rId40" w:history="1">
              <w:r w:rsidR="00A5420D" w:rsidRPr="00A5420D">
                <w:rPr>
                  <w:rStyle w:val="Hyperlink"/>
                  <w:i/>
                </w:rPr>
                <w:t>qualified service provider list</w:t>
              </w:r>
            </w:hyperlink>
            <w:r w:rsidR="00BF4B73" w:rsidRPr="00A5420D">
              <w:rPr>
                <w:i/>
                <w:szCs w:val="21"/>
              </w:rPr>
              <w:t>?</w:t>
            </w:r>
          </w:p>
          <w:p w14:paraId="68558788" w14:textId="77777777" w:rsidR="001D792C" w:rsidRPr="006764CB" w:rsidRDefault="001D792C" w:rsidP="006E73F1">
            <w:pPr>
              <w:pStyle w:val="ListParagraph"/>
              <w:numPr>
                <w:ilvl w:val="0"/>
                <w:numId w:val="14"/>
              </w:numPr>
              <w:spacing w:after="160" w:line="259" w:lineRule="auto"/>
              <w:rPr>
                <w:i/>
                <w:szCs w:val="21"/>
              </w:rPr>
            </w:pPr>
            <w:r w:rsidRPr="006764CB">
              <w:rPr>
                <w:i/>
                <w:szCs w:val="21"/>
              </w:rPr>
              <w:t>How many energy assessments or RCx studies has the provider completed on similar facilities?</w:t>
            </w:r>
          </w:p>
          <w:p w14:paraId="343D4CD7" w14:textId="77777777" w:rsidR="001D792C" w:rsidRPr="006764CB" w:rsidRDefault="001D792C" w:rsidP="006E73F1">
            <w:pPr>
              <w:pStyle w:val="ListParagraph"/>
              <w:numPr>
                <w:ilvl w:val="0"/>
                <w:numId w:val="14"/>
              </w:numPr>
              <w:spacing w:after="160" w:line="259" w:lineRule="auto"/>
              <w:rPr>
                <w:i/>
                <w:szCs w:val="21"/>
              </w:rPr>
            </w:pPr>
            <w:r w:rsidRPr="006764CB">
              <w:rPr>
                <w:i/>
                <w:szCs w:val="21"/>
              </w:rPr>
              <w:t>How long has the provider been conducting energy assessments or RCx studies on similar facilities?</w:t>
            </w:r>
          </w:p>
          <w:p w14:paraId="2EB9A52E" w14:textId="77777777" w:rsidR="001D792C" w:rsidRPr="006764CB" w:rsidRDefault="001D792C" w:rsidP="006E73F1">
            <w:pPr>
              <w:pStyle w:val="ListParagraph"/>
              <w:numPr>
                <w:ilvl w:val="0"/>
                <w:numId w:val="14"/>
              </w:numPr>
              <w:spacing w:after="160" w:line="259" w:lineRule="auto"/>
              <w:rPr>
                <w:i/>
                <w:szCs w:val="21"/>
              </w:rPr>
            </w:pPr>
            <w:r w:rsidRPr="006764CB">
              <w:rPr>
                <w:i/>
                <w:szCs w:val="21"/>
              </w:rPr>
              <w:t>How recently has the provider conducted energy assessments or RCx studies on similar facilities?</w:t>
            </w:r>
          </w:p>
          <w:p w14:paraId="23029DB8" w14:textId="77777777" w:rsidR="001D792C" w:rsidRPr="006764CB" w:rsidRDefault="001D792C" w:rsidP="006E73F1">
            <w:pPr>
              <w:pStyle w:val="ListParagraph"/>
              <w:numPr>
                <w:ilvl w:val="0"/>
                <w:numId w:val="14"/>
              </w:numPr>
              <w:spacing w:after="160" w:line="259" w:lineRule="auto"/>
              <w:rPr>
                <w:i/>
                <w:szCs w:val="21"/>
              </w:rPr>
            </w:pPr>
            <w:r w:rsidRPr="006764CB">
              <w:rPr>
                <w:i/>
                <w:szCs w:val="21"/>
              </w:rPr>
              <w:t>Ask the provider for a sample report.</w:t>
            </w:r>
          </w:p>
          <w:p w14:paraId="366964AD" w14:textId="77777777" w:rsidR="001D792C" w:rsidRDefault="001D792C" w:rsidP="006E73F1">
            <w:pPr>
              <w:pStyle w:val="ListParagraph"/>
              <w:numPr>
                <w:ilvl w:val="0"/>
                <w:numId w:val="14"/>
              </w:numPr>
              <w:spacing w:after="160" w:line="259" w:lineRule="auto"/>
              <w:rPr>
                <w:i/>
                <w:szCs w:val="21"/>
              </w:rPr>
            </w:pPr>
            <w:r w:rsidRPr="006764CB">
              <w:rPr>
                <w:i/>
                <w:szCs w:val="21"/>
              </w:rPr>
              <w:t>What types of capital efficiency, RCx operational, or lighting upgrades does the provider typically recommend for a building like ours?</w:t>
            </w:r>
          </w:p>
          <w:p w14:paraId="0448099B" w14:textId="77777777" w:rsidR="00F04683" w:rsidRPr="006764CB" w:rsidRDefault="00F04683" w:rsidP="006E73F1">
            <w:pPr>
              <w:pStyle w:val="ListParagraph"/>
              <w:numPr>
                <w:ilvl w:val="0"/>
                <w:numId w:val="14"/>
              </w:numPr>
              <w:spacing w:after="160" w:line="259" w:lineRule="auto"/>
              <w:rPr>
                <w:i/>
                <w:szCs w:val="21"/>
              </w:rPr>
            </w:pPr>
            <w:r>
              <w:rPr>
                <w:i/>
                <w:szCs w:val="21"/>
              </w:rPr>
              <w:t xml:space="preserve">Is the provider </w:t>
            </w:r>
            <w:r w:rsidR="009021C3">
              <w:rPr>
                <w:i/>
                <w:szCs w:val="21"/>
              </w:rPr>
              <w:t>well versed</w:t>
            </w:r>
            <w:r>
              <w:rPr>
                <w:i/>
                <w:szCs w:val="21"/>
              </w:rPr>
              <w:t xml:space="preserve"> in these Ordinance requirements?</w:t>
            </w:r>
          </w:p>
          <w:p w14:paraId="5AA54118" w14:textId="77777777" w:rsidR="001D792C" w:rsidRPr="006764CB" w:rsidRDefault="001D792C" w:rsidP="006E73F1">
            <w:pPr>
              <w:pStyle w:val="ListParagraph"/>
              <w:numPr>
                <w:ilvl w:val="0"/>
                <w:numId w:val="14"/>
              </w:numPr>
              <w:spacing w:after="160" w:line="259" w:lineRule="auto"/>
              <w:rPr>
                <w:i/>
                <w:szCs w:val="21"/>
              </w:rPr>
            </w:pPr>
            <w:r w:rsidRPr="006764CB">
              <w:rPr>
                <w:i/>
                <w:szCs w:val="21"/>
              </w:rPr>
              <w:t xml:space="preserve">Is the provider familiar with rebates and incentives offered by the utilities, City of Boulder, and </w:t>
            </w:r>
            <w:hyperlink r:id="rId41" w:history="1">
              <w:proofErr w:type="spellStart"/>
              <w:r w:rsidRPr="006764CB">
                <w:rPr>
                  <w:rStyle w:val="Hyperlink"/>
                  <w:i/>
                  <w:szCs w:val="21"/>
                </w:rPr>
                <w:t>EnergySmart</w:t>
              </w:r>
              <w:proofErr w:type="spellEnd"/>
            </w:hyperlink>
            <w:r w:rsidRPr="006764CB">
              <w:rPr>
                <w:i/>
                <w:szCs w:val="21"/>
              </w:rPr>
              <w:t xml:space="preserve"> for the services provided, and how will they help us obtain these rebates?</w:t>
            </w:r>
          </w:p>
          <w:p w14:paraId="10BF21FE" w14:textId="77777777" w:rsidR="001D792C" w:rsidRPr="006764CB" w:rsidRDefault="001D792C" w:rsidP="006E73F1">
            <w:pPr>
              <w:pStyle w:val="ListParagraph"/>
              <w:numPr>
                <w:ilvl w:val="0"/>
                <w:numId w:val="14"/>
              </w:numPr>
              <w:spacing w:after="160" w:line="259" w:lineRule="auto"/>
              <w:rPr>
                <w:i/>
                <w:szCs w:val="21"/>
              </w:rPr>
            </w:pPr>
            <w:r w:rsidRPr="006764CB">
              <w:rPr>
                <w:i/>
                <w:szCs w:val="21"/>
              </w:rPr>
              <w:t xml:space="preserve">If the provider is offering to assist with assessing lighting updates, are they qualified and experienced with meeting </w:t>
            </w:r>
            <w:r w:rsidR="00A6232A">
              <w:rPr>
                <w:i/>
                <w:szCs w:val="21"/>
              </w:rPr>
              <w:t>City of Boulder and</w:t>
            </w:r>
            <w:r w:rsidRPr="006764CB">
              <w:rPr>
                <w:i/>
                <w:szCs w:val="21"/>
              </w:rPr>
              <w:t xml:space="preserve"> IECC lighting codes and do they provide the compliance </w:t>
            </w:r>
            <w:r w:rsidR="00A6232A">
              <w:rPr>
                <w:i/>
                <w:szCs w:val="21"/>
              </w:rPr>
              <w:t>submission</w:t>
            </w:r>
            <w:r w:rsidRPr="006764CB">
              <w:rPr>
                <w:i/>
                <w:szCs w:val="21"/>
              </w:rPr>
              <w:t xml:space="preserve"> as part of their service?</w:t>
            </w:r>
          </w:p>
          <w:p w14:paraId="0F87D2CF" w14:textId="77777777" w:rsidR="001D792C" w:rsidRPr="006764CB" w:rsidRDefault="00F04683" w:rsidP="006E73F1">
            <w:pPr>
              <w:pStyle w:val="ListParagraph"/>
              <w:numPr>
                <w:ilvl w:val="0"/>
                <w:numId w:val="14"/>
              </w:numPr>
              <w:spacing w:after="160" w:line="259" w:lineRule="auto"/>
              <w:rPr>
                <w:i/>
                <w:szCs w:val="21"/>
              </w:rPr>
            </w:pPr>
            <w:r>
              <w:rPr>
                <w:i/>
                <w:szCs w:val="21"/>
              </w:rPr>
              <w:t>Is</w:t>
            </w:r>
            <w:r w:rsidRPr="006764CB">
              <w:rPr>
                <w:i/>
                <w:szCs w:val="21"/>
              </w:rPr>
              <w:t xml:space="preserve"> </w:t>
            </w:r>
            <w:r w:rsidR="001D792C" w:rsidRPr="006764CB">
              <w:rPr>
                <w:i/>
                <w:szCs w:val="21"/>
              </w:rPr>
              <w:t xml:space="preserve">the provider </w:t>
            </w:r>
            <w:r>
              <w:rPr>
                <w:i/>
                <w:szCs w:val="21"/>
              </w:rPr>
              <w:t>local</w:t>
            </w:r>
            <w:r w:rsidR="001D792C" w:rsidRPr="006764CB">
              <w:rPr>
                <w:i/>
                <w:szCs w:val="21"/>
              </w:rPr>
              <w:t xml:space="preserve">, and if not, how will this fact affect their work or fee? </w:t>
            </w:r>
          </w:p>
          <w:p w14:paraId="68AF1841" w14:textId="77777777" w:rsidR="001D792C" w:rsidRDefault="001D792C" w:rsidP="006E73F1">
            <w:pPr>
              <w:pStyle w:val="ListParagraph"/>
              <w:numPr>
                <w:ilvl w:val="0"/>
                <w:numId w:val="14"/>
              </w:numPr>
            </w:pPr>
            <w:r w:rsidRPr="006764CB">
              <w:rPr>
                <w:i/>
                <w:szCs w:val="21"/>
              </w:rPr>
              <w:t>Can they provide business references for similar scope in similar facilities?</w:t>
            </w:r>
          </w:p>
        </w:tc>
      </w:tr>
    </w:tbl>
    <w:p w14:paraId="2220AB61" w14:textId="77777777" w:rsidR="001D792C" w:rsidRDefault="001D792C" w:rsidP="006C70F7">
      <w:pPr>
        <w:pStyle w:val="ListParagraph"/>
        <w:numPr>
          <w:ilvl w:val="0"/>
          <w:numId w:val="32"/>
        </w:numPr>
      </w:pPr>
      <w:r w:rsidRPr="00FF5B26">
        <w:t>Agree upon the scope of work</w:t>
      </w:r>
    </w:p>
    <w:p w14:paraId="5A5B6335" w14:textId="77777777" w:rsidR="001D792C" w:rsidRDefault="00AE0331" w:rsidP="006C70F7">
      <w:pPr>
        <w:pStyle w:val="ListParagraph"/>
        <w:numPr>
          <w:ilvl w:val="1"/>
          <w:numId w:val="32"/>
        </w:numPr>
      </w:pPr>
      <w:r>
        <w:t>The owner</w:t>
      </w:r>
      <w:r w:rsidR="004F53D2">
        <w:t xml:space="preserve"> </w:t>
      </w:r>
      <w:r w:rsidR="001D792C">
        <w:t xml:space="preserve">can finalize the </w:t>
      </w:r>
      <w:r w:rsidR="004F53D2">
        <w:t xml:space="preserve">contract and </w:t>
      </w:r>
      <w:r w:rsidR="001D792C">
        <w:t>requested scope of work with the service provider</w:t>
      </w:r>
      <w:r w:rsidR="004F53D2">
        <w:t xml:space="preserve"> after deciding which services </w:t>
      </w:r>
      <w:r>
        <w:t>are needed</w:t>
      </w:r>
      <w:r w:rsidR="004F53D2">
        <w:t xml:space="preserve"> (which may occur after the preliminary energy assessment scopes and prices the various requested services).</w:t>
      </w:r>
    </w:p>
    <w:p w14:paraId="7EF9C037" w14:textId="77777777" w:rsidR="001D792C" w:rsidRDefault="001D792C" w:rsidP="006C70F7">
      <w:pPr>
        <w:pStyle w:val="ListParagraph"/>
        <w:numPr>
          <w:ilvl w:val="1"/>
          <w:numId w:val="32"/>
        </w:numPr>
      </w:pPr>
      <w:r w:rsidRPr="00FF5B26">
        <w:t xml:space="preserve">Make the service provider aware of any previously completed energy assessments, energy projects and upgrades including lighting to help clarify the required scope. </w:t>
      </w:r>
    </w:p>
    <w:p w14:paraId="4E5007A0" w14:textId="77777777" w:rsidR="001D792C" w:rsidRDefault="001D792C" w:rsidP="006C70F7">
      <w:pPr>
        <w:pStyle w:val="ListParagraph"/>
        <w:numPr>
          <w:ilvl w:val="1"/>
          <w:numId w:val="32"/>
        </w:numPr>
      </w:pPr>
      <w:r w:rsidRPr="00FF5B26">
        <w:t xml:space="preserve">If </w:t>
      </w:r>
      <w:r w:rsidR="00AE0331">
        <w:t>an owner has</w:t>
      </w:r>
      <w:r w:rsidRPr="00FF5B26">
        <w:t xml:space="preserve"> a very large or complex project that would benefit from the additional work and cost of developing a formal request for qualification (RFQ) and/or request for proposal (RFP), a written scope of work should be included in the RFQ/RFP.  </w:t>
      </w:r>
    </w:p>
    <w:p w14:paraId="6F415286" w14:textId="07623E7A" w:rsidR="001D792C" w:rsidRDefault="00592052" w:rsidP="005E4DDE">
      <w:pPr>
        <w:pStyle w:val="Heading3"/>
      </w:pPr>
      <w:bookmarkStart w:id="396" w:name="_Toc445462759"/>
      <w:bookmarkStart w:id="397" w:name="_Toc445462963"/>
      <w:r>
        <w:lastRenderedPageBreak/>
        <w:t>2.4.1</w:t>
      </w:r>
      <w:r>
        <w:tab/>
      </w:r>
      <w:r w:rsidR="001D792C" w:rsidRPr="0003491F">
        <w:t xml:space="preserve">Service Provider </w:t>
      </w:r>
      <w:bookmarkEnd w:id="396"/>
      <w:bookmarkEnd w:id="397"/>
      <w:r w:rsidR="001D792C" w:rsidRPr="005E4DDE">
        <w:t>Qualifications</w:t>
      </w:r>
    </w:p>
    <w:p w14:paraId="3807D0DF" w14:textId="188A4AE7" w:rsidR="001D792C" w:rsidRDefault="001D792C" w:rsidP="001D792C">
      <w:r>
        <w:t xml:space="preserve">Energy assessment providers and RCx providers must be pre-trained and listed on </w:t>
      </w:r>
      <w:r w:rsidRPr="00DE77F2">
        <w:t xml:space="preserve">the </w:t>
      </w:r>
      <w:r>
        <w:t>City</w:t>
      </w:r>
      <w:r w:rsidRPr="00DE77F2">
        <w:t xml:space="preserve"> of Boulder </w:t>
      </w:r>
      <w:hyperlink r:id="rId42" w:history="1">
        <w:r w:rsidR="00A5420D" w:rsidRPr="00A5420D">
          <w:rPr>
            <w:rStyle w:val="Hyperlink"/>
          </w:rPr>
          <w:t>qualified service provider list</w:t>
        </w:r>
      </w:hyperlink>
      <w:r w:rsidR="00A5420D" w:rsidRPr="00FF5B26">
        <w:t>.</w:t>
      </w:r>
      <w:r w:rsidR="00F04683">
        <w:t xml:space="preserve"> In order to be placed on this list, service providers must watch a mandatory training video and successfully pass a </w:t>
      </w:r>
      <w:r w:rsidR="005E4DDE">
        <w:t>multiple-choice</w:t>
      </w:r>
      <w:r w:rsidR="00F04683">
        <w:t xml:space="preserve"> </w:t>
      </w:r>
      <w:r w:rsidR="00EF703A">
        <w:t>quiz</w:t>
      </w:r>
      <w:r w:rsidR="00F04683">
        <w:t xml:space="preserve"> on the requirements. Additionally, the service providers must possess certain professional qualifications.</w:t>
      </w:r>
    </w:p>
    <w:p w14:paraId="1EE4CDF6" w14:textId="77777777" w:rsidR="001D792C" w:rsidRPr="00C6273B" w:rsidRDefault="001D792C" w:rsidP="001D792C">
      <w:r>
        <w:t>Energy assessment s</w:t>
      </w:r>
      <w:r w:rsidRPr="00C6273B">
        <w:t xml:space="preserve">ervice providers must meet at least </w:t>
      </w:r>
      <w:r w:rsidRPr="0003491F">
        <w:t>one</w:t>
      </w:r>
      <w:r w:rsidRPr="00C6273B">
        <w:t xml:space="preserve"> of the following qualifications </w:t>
      </w:r>
      <w:r>
        <w:t>for energy assessment services</w:t>
      </w:r>
      <w:r w:rsidRPr="00C6273B">
        <w:t>:</w:t>
      </w:r>
    </w:p>
    <w:p w14:paraId="4ABE0CC4" w14:textId="77777777" w:rsidR="001D792C" w:rsidRPr="00C6273B" w:rsidRDefault="001D792C" w:rsidP="006C70F7">
      <w:pPr>
        <w:pStyle w:val="ListParagraph"/>
        <w:numPr>
          <w:ilvl w:val="0"/>
          <w:numId w:val="31"/>
        </w:numPr>
      </w:pPr>
      <w:r w:rsidRPr="00C6273B">
        <w:t xml:space="preserve">A registered design professional (either a Professional Engineer or Registered Architect), with at least three years professional experience performing </w:t>
      </w:r>
      <w:r>
        <w:t>e</w:t>
      </w:r>
      <w:r w:rsidRPr="00C6273B">
        <w:t xml:space="preserve">nergy </w:t>
      </w:r>
      <w:r>
        <w:t>a</w:t>
      </w:r>
      <w:r w:rsidRPr="00C6273B">
        <w:t>ssessments of equivalent scope on similar types of buildings;</w:t>
      </w:r>
    </w:p>
    <w:p w14:paraId="77FC9018" w14:textId="77777777" w:rsidR="001D792C" w:rsidRPr="00C6273B" w:rsidRDefault="001D792C" w:rsidP="006C70F7">
      <w:pPr>
        <w:pStyle w:val="ListParagraph"/>
        <w:numPr>
          <w:ilvl w:val="0"/>
          <w:numId w:val="31"/>
        </w:numPr>
      </w:pPr>
      <w:r w:rsidRPr="00C6273B">
        <w:t xml:space="preserve">A contractor approved by the local utility to perform </w:t>
      </w:r>
      <w:r>
        <w:t>e</w:t>
      </w:r>
      <w:r w:rsidRPr="00C6273B">
        <w:t xml:space="preserve">nergy </w:t>
      </w:r>
      <w:r>
        <w:t>a</w:t>
      </w:r>
      <w:r w:rsidRPr="00C6273B">
        <w:t xml:space="preserve">ssessments of equivalent scope on similar types of buildings as part of the utility’s </w:t>
      </w:r>
      <w:r>
        <w:t>e</w:t>
      </w:r>
      <w:r w:rsidRPr="00C6273B">
        <w:t>nergy efficiency programs;</w:t>
      </w:r>
    </w:p>
    <w:p w14:paraId="2F30E134" w14:textId="77777777" w:rsidR="001D792C" w:rsidRPr="00C6273B" w:rsidRDefault="001D792C" w:rsidP="006C70F7">
      <w:pPr>
        <w:pStyle w:val="ListParagraph"/>
        <w:numPr>
          <w:ilvl w:val="0"/>
          <w:numId w:val="31"/>
        </w:numPr>
      </w:pPr>
      <w:r w:rsidRPr="00C6273B">
        <w:t xml:space="preserve">A contractor approved by the </w:t>
      </w:r>
      <w:r w:rsidR="00F95C26">
        <w:t>c</w:t>
      </w:r>
      <w:r>
        <w:t>ity</w:t>
      </w:r>
      <w:r w:rsidRPr="00C6273B">
        <w:t xml:space="preserve"> to perform </w:t>
      </w:r>
      <w:r>
        <w:t>e</w:t>
      </w:r>
      <w:r w:rsidRPr="00C6273B">
        <w:t xml:space="preserve">nergy </w:t>
      </w:r>
      <w:r>
        <w:t>a</w:t>
      </w:r>
      <w:r w:rsidRPr="00C6273B">
        <w:t xml:space="preserve">ssessments of equivalent scope on similar types of buildings as part of the </w:t>
      </w:r>
      <w:r w:rsidR="00F95C26">
        <w:t>c</w:t>
      </w:r>
      <w:r>
        <w:t>ity</w:t>
      </w:r>
      <w:r w:rsidRPr="00C6273B">
        <w:t xml:space="preserve">’s </w:t>
      </w:r>
      <w:r>
        <w:t>e</w:t>
      </w:r>
      <w:r w:rsidRPr="00C6273B">
        <w:t>nergy efficiency programs;</w:t>
      </w:r>
    </w:p>
    <w:p w14:paraId="013C64BB" w14:textId="77777777" w:rsidR="001D792C" w:rsidRPr="00C6273B" w:rsidRDefault="001D792C" w:rsidP="006C70F7">
      <w:pPr>
        <w:pStyle w:val="ListParagraph"/>
        <w:numPr>
          <w:ilvl w:val="0"/>
          <w:numId w:val="31"/>
        </w:numPr>
      </w:pPr>
      <w:r w:rsidRPr="00C6273B">
        <w:t xml:space="preserve">A Certified Energy Manager (CEM) or Certified Energy Auditor (CEA), certified by the Association of Energy Engineers (AEE), with at least three years professional experience performing </w:t>
      </w:r>
      <w:r>
        <w:t>e</w:t>
      </w:r>
      <w:r w:rsidRPr="00C6273B">
        <w:t xml:space="preserve">nergy </w:t>
      </w:r>
      <w:r>
        <w:t>a</w:t>
      </w:r>
      <w:r w:rsidRPr="00C6273B">
        <w:t>ssessments of equivalent scope on similar types of buildings;</w:t>
      </w:r>
    </w:p>
    <w:p w14:paraId="04F10F70" w14:textId="77777777" w:rsidR="001D792C" w:rsidRPr="00C6273B" w:rsidRDefault="001D792C" w:rsidP="006C70F7">
      <w:pPr>
        <w:pStyle w:val="ListParagraph"/>
        <w:numPr>
          <w:ilvl w:val="0"/>
          <w:numId w:val="31"/>
        </w:numPr>
      </w:pPr>
      <w:r w:rsidRPr="00C6273B">
        <w:t xml:space="preserve">A Building Energy Assessment Professional (BEAP) certified by ASHRAE, with at least three years professional experience performing </w:t>
      </w:r>
      <w:r>
        <w:t>e</w:t>
      </w:r>
      <w:r w:rsidRPr="00C6273B">
        <w:t xml:space="preserve">nergy </w:t>
      </w:r>
      <w:r>
        <w:t>a</w:t>
      </w:r>
      <w:r w:rsidRPr="00C6273B">
        <w:t>ssessments of equivalent scope on similar types of buildings; or</w:t>
      </w:r>
    </w:p>
    <w:p w14:paraId="2EE9E354" w14:textId="77777777" w:rsidR="001D792C" w:rsidRPr="00C6273B" w:rsidRDefault="001D792C" w:rsidP="006C70F7">
      <w:pPr>
        <w:pStyle w:val="ListParagraph"/>
        <w:numPr>
          <w:ilvl w:val="0"/>
          <w:numId w:val="31"/>
        </w:numPr>
      </w:pPr>
      <w:r w:rsidRPr="00C6273B">
        <w:t xml:space="preserve">Other credentials based on review and approval, including: </w:t>
      </w:r>
    </w:p>
    <w:p w14:paraId="5DC2CFDC" w14:textId="77777777" w:rsidR="001D792C" w:rsidRPr="00C6273B" w:rsidRDefault="001D792C" w:rsidP="006C70F7">
      <w:pPr>
        <w:pStyle w:val="ListParagraph"/>
        <w:numPr>
          <w:ilvl w:val="1"/>
          <w:numId w:val="31"/>
        </w:numPr>
      </w:pPr>
      <w:r>
        <w:t>Energy Management</w:t>
      </w:r>
      <w:r w:rsidRPr="00C6273B">
        <w:t xml:space="preserve"> Certification from </w:t>
      </w:r>
      <w:r>
        <w:t xml:space="preserve">the Northwest Water and Energy Education Institute </w:t>
      </w:r>
      <w:r w:rsidRPr="00C6273B">
        <w:t xml:space="preserve">with at least three years professional experience performing </w:t>
      </w:r>
      <w:r>
        <w:t>e</w:t>
      </w:r>
      <w:r w:rsidRPr="00C6273B">
        <w:t xml:space="preserve">nergy </w:t>
      </w:r>
      <w:r>
        <w:t>a</w:t>
      </w:r>
      <w:r w:rsidRPr="00C6273B">
        <w:t>ssessments of equivalent scope on similar types of buildings</w:t>
      </w:r>
    </w:p>
    <w:p w14:paraId="15AD0A45" w14:textId="0346BD68" w:rsidR="001D792C" w:rsidRPr="00C6273B" w:rsidRDefault="001D792C" w:rsidP="001D792C">
      <w:r w:rsidRPr="00C6273B">
        <w:t>Retro</w:t>
      </w:r>
      <w:r w:rsidR="00636107">
        <w:t>-</w:t>
      </w:r>
      <w:r w:rsidRPr="00C6273B">
        <w:t>commissioning service providers must meet at least one of the following qualifications for retro</w:t>
      </w:r>
      <w:r w:rsidR="00636107">
        <w:t>-</w:t>
      </w:r>
      <w:r w:rsidRPr="00C6273B">
        <w:t>commissioning</w:t>
      </w:r>
      <w:r>
        <w:t xml:space="preserve"> services</w:t>
      </w:r>
      <w:r w:rsidRPr="00C6273B">
        <w:t>:</w:t>
      </w:r>
    </w:p>
    <w:p w14:paraId="2A6FC50C" w14:textId="4BDCE286" w:rsidR="001D792C" w:rsidRPr="00C6273B" w:rsidRDefault="001D792C" w:rsidP="006C70F7">
      <w:pPr>
        <w:pStyle w:val="ListParagraph"/>
        <w:numPr>
          <w:ilvl w:val="0"/>
          <w:numId w:val="30"/>
        </w:numPr>
      </w:pPr>
      <w:r w:rsidRPr="00C6273B">
        <w:t xml:space="preserve">Licensed Professional Engineer with three or more years of proven commissioning or </w:t>
      </w:r>
      <w:r>
        <w:t>r</w:t>
      </w:r>
      <w:r w:rsidRPr="00C6273B">
        <w:t>etro</w:t>
      </w:r>
      <w:r w:rsidR="00636107">
        <w:t>-</w:t>
      </w:r>
      <w:r w:rsidRPr="00C6273B">
        <w:t>commissioning experience with similar buildings; or</w:t>
      </w:r>
    </w:p>
    <w:p w14:paraId="1CE717E1" w14:textId="73EAFACE" w:rsidR="001D792C" w:rsidRPr="00C6273B" w:rsidRDefault="001D792C" w:rsidP="006C70F7">
      <w:pPr>
        <w:pStyle w:val="ListParagraph"/>
        <w:numPr>
          <w:ilvl w:val="0"/>
          <w:numId w:val="30"/>
        </w:numPr>
      </w:pPr>
      <w:r w:rsidRPr="00C6273B">
        <w:t xml:space="preserve">Hold relevant certification(s) with Associated Air Balance Council, National Environmental Balancing Bureau, Association of Energy Engineers, Building Commissioning Association, University of Wisconsin or the American Society of Heating, Refrigeration, and Air-Conditioning Engineers as a commissioning authority with three or more years of proven commissioning or </w:t>
      </w:r>
      <w:r>
        <w:t>r</w:t>
      </w:r>
      <w:r w:rsidRPr="00C6273B">
        <w:t>etro</w:t>
      </w:r>
      <w:r w:rsidR="00636107">
        <w:t>-</w:t>
      </w:r>
      <w:r w:rsidRPr="00C6273B">
        <w:t>commissioning experience with similar buildings; or</w:t>
      </w:r>
    </w:p>
    <w:p w14:paraId="688BE741" w14:textId="18A4B6A9" w:rsidR="001D792C" w:rsidRDefault="001D792C" w:rsidP="006C70F7">
      <w:pPr>
        <w:pStyle w:val="ListParagraph"/>
        <w:numPr>
          <w:ilvl w:val="0"/>
          <w:numId w:val="30"/>
        </w:numPr>
      </w:pPr>
      <w:r w:rsidRPr="00C6273B">
        <w:t xml:space="preserve">An individual or firm with five or more years of proven commissioning or </w:t>
      </w:r>
      <w:r>
        <w:t>r</w:t>
      </w:r>
      <w:r w:rsidRPr="00C6273B">
        <w:t>etro</w:t>
      </w:r>
      <w:r w:rsidR="00636107">
        <w:t>-</w:t>
      </w:r>
      <w:r w:rsidRPr="00C6273B">
        <w:t>commissioning experience with similar buildings; or</w:t>
      </w:r>
    </w:p>
    <w:p w14:paraId="5A33A49E" w14:textId="020034C2" w:rsidR="001D792C" w:rsidRPr="00C6273B" w:rsidRDefault="001D792C" w:rsidP="006C70F7">
      <w:pPr>
        <w:pStyle w:val="ListParagraph"/>
        <w:numPr>
          <w:ilvl w:val="0"/>
          <w:numId w:val="30"/>
        </w:numPr>
      </w:pPr>
      <w:r w:rsidRPr="00734042">
        <w:t xml:space="preserve">A contractor approved by the local utility to perform </w:t>
      </w:r>
      <w:r>
        <w:t>retro</w:t>
      </w:r>
      <w:r w:rsidR="00636107">
        <w:t>-</w:t>
      </w:r>
      <w:r>
        <w:t xml:space="preserve">commissioning of equivalent scope </w:t>
      </w:r>
      <w:r w:rsidRPr="00734042">
        <w:t>on similar types of buildings</w:t>
      </w:r>
      <w:r>
        <w:t xml:space="preserve"> as part of the utility’s</w:t>
      </w:r>
      <w:r w:rsidRPr="00734042">
        <w:t xml:space="preserve"> </w:t>
      </w:r>
      <w:r>
        <w:t>energy</w:t>
      </w:r>
      <w:r w:rsidRPr="00734042">
        <w:t xml:space="preserve"> efficiency programs</w:t>
      </w:r>
      <w:r>
        <w:t>; or</w:t>
      </w:r>
    </w:p>
    <w:p w14:paraId="0A3F32D8" w14:textId="77777777" w:rsidR="001D792C" w:rsidRPr="00C6273B" w:rsidRDefault="001D792C" w:rsidP="006C70F7">
      <w:pPr>
        <w:pStyle w:val="ListParagraph"/>
        <w:numPr>
          <w:ilvl w:val="0"/>
          <w:numId w:val="30"/>
        </w:numPr>
      </w:pPr>
      <w:r w:rsidRPr="00C6273B">
        <w:t>Other credential</w:t>
      </w:r>
      <w:r>
        <w:t>s based on review and approval.</w:t>
      </w:r>
    </w:p>
    <w:p w14:paraId="2CA44454" w14:textId="02F8E45E" w:rsidR="00C66D22" w:rsidRDefault="00592052" w:rsidP="005E4DDE">
      <w:pPr>
        <w:pStyle w:val="Heading2"/>
      </w:pPr>
      <w:bookmarkStart w:id="398" w:name="_Ref447196971"/>
      <w:bookmarkStart w:id="399" w:name="_Toc530563761"/>
      <w:r>
        <w:t>2.5</w:t>
      </w:r>
      <w:r>
        <w:tab/>
      </w:r>
      <w:r w:rsidR="0003491F" w:rsidRPr="0003491F">
        <w:t>Prepar</w:t>
      </w:r>
      <w:r w:rsidR="002116FC">
        <w:t>ing</w:t>
      </w:r>
      <w:r w:rsidR="0003491F" w:rsidRPr="0003491F">
        <w:t xml:space="preserve"> for and Mana</w:t>
      </w:r>
      <w:r w:rsidR="002116FC">
        <w:t>ging</w:t>
      </w:r>
      <w:r w:rsidR="0003491F" w:rsidRPr="0003491F">
        <w:t xml:space="preserve"> the </w:t>
      </w:r>
      <w:r w:rsidR="0003491F" w:rsidRPr="005E4DDE">
        <w:t>Process</w:t>
      </w:r>
      <w:bookmarkEnd w:id="379"/>
      <w:bookmarkEnd w:id="380"/>
      <w:bookmarkEnd w:id="381"/>
      <w:bookmarkEnd w:id="398"/>
      <w:bookmarkEnd w:id="399"/>
    </w:p>
    <w:p w14:paraId="34DE1BAA" w14:textId="77777777" w:rsidR="00501DFB" w:rsidRDefault="00501DFB" w:rsidP="005B3216">
      <w:bookmarkStart w:id="400" w:name="_Hlk530409125"/>
      <w:r>
        <w:t xml:space="preserve">Although the </w:t>
      </w:r>
      <w:r w:rsidR="001148C5">
        <w:t>qualified provider</w:t>
      </w:r>
      <w:r>
        <w:t xml:space="preserve"> </w:t>
      </w:r>
      <w:r w:rsidR="00A143F6">
        <w:t>will perform the vast majority of the work required for an energy assessment</w:t>
      </w:r>
      <w:r w:rsidR="001148C5">
        <w:t xml:space="preserve"> and RCx</w:t>
      </w:r>
      <w:r w:rsidR="00A143F6">
        <w:t xml:space="preserve">, there are tasks that the building owner must perform for the </w:t>
      </w:r>
      <w:r w:rsidR="001148C5">
        <w:t xml:space="preserve">process </w:t>
      </w:r>
      <w:r w:rsidR="00A143F6">
        <w:t xml:space="preserve">to be </w:t>
      </w:r>
      <w:r w:rsidR="00A143F6">
        <w:lastRenderedPageBreak/>
        <w:t xml:space="preserve">successful. </w:t>
      </w:r>
      <w:bookmarkEnd w:id="400"/>
      <w:r w:rsidR="00873F8E">
        <w:t>These preparation steps are based on best practices, and are not ordinance requirements unless stated.</w:t>
      </w:r>
    </w:p>
    <w:p w14:paraId="47D817BB" w14:textId="77777777" w:rsidR="00AC0FC5" w:rsidRDefault="00D27B37" w:rsidP="006C70F7">
      <w:pPr>
        <w:pStyle w:val="ListParagraph"/>
        <w:numPr>
          <w:ilvl w:val="0"/>
          <w:numId w:val="28"/>
        </w:numPr>
      </w:pPr>
      <w:r>
        <w:t>Draft</w:t>
      </w:r>
      <w:r w:rsidR="007F1A71">
        <w:t xml:space="preserve"> a work plan to include the tasks for </w:t>
      </w:r>
      <w:r w:rsidR="00AE0331">
        <w:t>the owner and the</w:t>
      </w:r>
      <w:r w:rsidR="002048C2">
        <w:t xml:space="preserve"> tenants,</w:t>
      </w:r>
      <w:r w:rsidR="007F1A71">
        <w:t xml:space="preserve"> such as</w:t>
      </w:r>
      <w:r w:rsidR="00DE6AA3">
        <w:t xml:space="preserve"> compliance schedule, </w:t>
      </w:r>
      <w:r w:rsidR="007F1A71">
        <w:t>required meetings</w:t>
      </w:r>
      <w:r w:rsidR="00DE6AA3">
        <w:t xml:space="preserve"> and</w:t>
      </w:r>
      <w:r w:rsidR="007F1A71">
        <w:t xml:space="preserve"> attendees, </w:t>
      </w:r>
      <w:r w:rsidR="00DE6AA3">
        <w:t xml:space="preserve">and </w:t>
      </w:r>
      <w:r w:rsidR="001E1164">
        <w:t xml:space="preserve">arrangements for the </w:t>
      </w:r>
      <w:r w:rsidR="007F1A71">
        <w:t>provider</w:t>
      </w:r>
      <w:r w:rsidR="001E1164">
        <w:t xml:space="preserve"> to</w:t>
      </w:r>
      <w:r w:rsidR="007F1A71">
        <w:t xml:space="preserve"> access</w:t>
      </w:r>
      <w:r w:rsidR="001E1164">
        <w:t xml:space="preserve"> the building.</w:t>
      </w:r>
      <w:r w:rsidR="0035185F">
        <w:rPr>
          <w:rStyle w:val="FootnoteReference"/>
        </w:rPr>
        <w:footnoteReference w:id="9"/>
      </w:r>
      <w:r w:rsidR="001E1164">
        <w:t xml:space="preserve"> </w:t>
      </w:r>
      <w:r w:rsidR="007F1A71">
        <w:t xml:space="preserve"> </w:t>
      </w:r>
    </w:p>
    <w:p w14:paraId="48134C02" w14:textId="77777777" w:rsidR="005B3216" w:rsidRDefault="0035185F" w:rsidP="0035185F">
      <w:pPr>
        <w:pStyle w:val="ListParagraph"/>
        <w:numPr>
          <w:ilvl w:val="0"/>
          <w:numId w:val="28"/>
        </w:numPr>
      </w:pPr>
      <w:r>
        <w:t>P</w:t>
      </w:r>
      <w:r w:rsidR="005634DA">
        <w:t>rovide</w:t>
      </w:r>
      <w:r>
        <w:t xml:space="preserve"> </w:t>
      </w:r>
      <w:r w:rsidR="00AE0331">
        <w:t>the</w:t>
      </w:r>
      <w:r>
        <w:t xml:space="preserve"> service provider with access to </w:t>
      </w:r>
      <w:r w:rsidR="00501DFB">
        <w:t xml:space="preserve">all </w:t>
      </w:r>
      <w:r>
        <w:t xml:space="preserve">building </w:t>
      </w:r>
      <w:r w:rsidR="00501DFB">
        <w:t xml:space="preserve">energy </w:t>
      </w:r>
      <w:r>
        <w:t>data</w:t>
      </w:r>
      <w:r w:rsidR="001B74EB">
        <w:t xml:space="preserve"> for the previous two years</w:t>
      </w:r>
      <w:r>
        <w:t xml:space="preserve"> as well as </w:t>
      </w:r>
      <w:r w:rsidR="001148C5">
        <w:t xml:space="preserve">the </w:t>
      </w:r>
      <w:r w:rsidR="001B74EB">
        <w:t xml:space="preserve">most recent bill for all utilities </w:t>
      </w:r>
      <w:r>
        <w:t xml:space="preserve">so </w:t>
      </w:r>
      <w:r w:rsidR="005A0425">
        <w:t>they</w:t>
      </w:r>
      <w:r>
        <w:t xml:space="preserve"> can</w:t>
      </w:r>
      <w:r w:rsidR="001B74EB">
        <w:t xml:space="preserve"> determine </w:t>
      </w:r>
      <w:r w:rsidR="001148C5">
        <w:t xml:space="preserve">the </w:t>
      </w:r>
      <w:r w:rsidR="001B74EB">
        <w:t>rates and carry out the utility analysis.</w:t>
      </w:r>
    </w:p>
    <w:p w14:paraId="2757B1DC" w14:textId="77777777" w:rsidR="00AC0FC5" w:rsidRDefault="001B74EB" w:rsidP="006C70F7">
      <w:pPr>
        <w:pStyle w:val="ListParagraph"/>
        <w:numPr>
          <w:ilvl w:val="0"/>
          <w:numId w:val="28"/>
        </w:numPr>
      </w:pPr>
      <w:r>
        <w:t xml:space="preserve">The </w:t>
      </w:r>
      <w:r w:rsidR="005A0425">
        <w:t xml:space="preserve">energy </w:t>
      </w:r>
      <w:r>
        <w:t>assessor will also require lighting and HVAC d</w:t>
      </w:r>
      <w:r w:rsidR="00A47CB9">
        <w:t xml:space="preserve">ocumentation including </w:t>
      </w:r>
      <w:r>
        <w:t>items such as</w:t>
      </w:r>
    </w:p>
    <w:p w14:paraId="6A4F032F" w14:textId="77777777" w:rsidR="00AC0FC5" w:rsidRDefault="00DE4653" w:rsidP="006C70F7">
      <w:pPr>
        <w:pStyle w:val="ListParagraph"/>
        <w:numPr>
          <w:ilvl w:val="1"/>
          <w:numId w:val="28"/>
        </w:numPr>
      </w:pPr>
      <w:r>
        <w:t>A</w:t>
      </w:r>
      <w:r w:rsidR="001B74EB">
        <w:t xml:space="preserve">rchitectural </w:t>
      </w:r>
      <w:r w:rsidR="00A47CB9">
        <w:t xml:space="preserve">drawings, </w:t>
      </w:r>
    </w:p>
    <w:p w14:paraId="743A201A" w14:textId="77777777" w:rsidR="00AC0FC5" w:rsidRDefault="00DE4653" w:rsidP="006C70F7">
      <w:pPr>
        <w:pStyle w:val="ListParagraph"/>
        <w:numPr>
          <w:ilvl w:val="1"/>
          <w:numId w:val="28"/>
        </w:numPr>
      </w:pPr>
      <w:r>
        <w:t>E</w:t>
      </w:r>
      <w:r w:rsidR="00A47CB9">
        <w:t xml:space="preserve">quipment </w:t>
      </w:r>
      <w:r w:rsidR="001B74EB">
        <w:t xml:space="preserve">schedules, </w:t>
      </w:r>
    </w:p>
    <w:p w14:paraId="74EE7336" w14:textId="77777777" w:rsidR="00AC0FC5" w:rsidRDefault="00DE4653" w:rsidP="006C70F7">
      <w:pPr>
        <w:pStyle w:val="ListParagraph"/>
        <w:numPr>
          <w:ilvl w:val="1"/>
          <w:numId w:val="28"/>
        </w:numPr>
      </w:pPr>
      <w:r>
        <w:t>O</w:t>
      </w:r>
      <w:r w:rsidR="001B74EB">
        <w:t xml:space="preserve">ne-line diagrams, </w:t>
      </w:r>
    </w:p>
    <w:p w14:paraId="7AC6E2DD" w14:textId="77777777" w:rsidR="00AC0FC5" w:rsidRDefault="00DE4653" w:rsidP="006C70F7">
      <w:pPr>
        <w:pStyle w:val="ListParagraph"/>
        <w:numPr>
          <w:ilvl w:val="1"/>
          <w:numId w:val="28"/>
        </w:numPr>
      </w:pPr>
      <w:r>
        <w:t>C</w:t>
      </w:r>
      <w:r w:rsidR="001B74EB">
        <w:t xml:space="preserve">ontrols diagrams, </w:t>
      </w:r>
    </w:p>
    <w:p w14:paraId="3AFA290E" w14:textId="77777777" w:rsidR="00AC0FC5" w:rsidRDefault="00DE4653" w:rsidP="006C70F7">
      <w:pPr>
        <w:pStyle w:val="ListParagraph"/>
        <w:numPr>
          <w:ilvl w:val="1"/>
          <w:numId w:val="28"/>
        </w:numPr>
      </w:pPr>
      <w:r>
        <w:t>S</w:t>
      </w:r>
      <w:r w:rsidR="001C4A01">
        <w:t xml:space="preserve">ystems manuals, </w:t>
      </w:r>
    </w:p>
    <w:p w14:paraId="2A05BFCD" w14:textId="77777777" w:rsidR="00AC0FC5" w:rsidRDefault="00DE4653" w:rsidP="006C70F7">
      <w:pPr>
        <w:pStyle w:val="ListParagraph"/>
        <w:numPr>
          <w:ilvl w:val="1"/>
          <w:numId w:val="28"/>
        </w:numPr>
      </w:pPr>
      <w:r>
        <w:t>C</w:t>
      </w:r>
      <w:r w:rsidR="001B74EB">
        <w:t xml:space="preserve">ommissioning reports and testing, </w:t>
      </w:r>
      <w:r w:rsidR="00F2514C">
        <w:t>and</w:t>
      </w:r>
    </w:p>
    <w:p w14:paraId="399BDA6A" w14:textId="77777777" w:rsidR="00A47CB9" w:rsidRDefault="00DE4653" w:rsidP="006C70F7">
      <w:pPr>
        <w:pStyle w:val="ListParagraph"/>
        <w:numPr>
          <w:ilvl w:val="1"/>
          <w:numId w:val="28"/>
        </w:numPr>
      </w:pPr>
      <w:r>
        <w:t>T</w:t>
      </w:r>
      <w:r w:rsidR="00AC0FC5">
        <w:t xml:space="preserve">esting, </w:t>
      </w:r>
      <w:r w:rsidR="001B74EB">
        <w:t xml:space="preserve">adjusting and balancing </w:t>
      </w:r>
      <w:r w:rsidR="001C4A01">
        <w:t xml:space="preserve">(TAB) </w:t>
      </w:r>
      <w:r w:rsidR="001B74EB">
        <w:t>reports</w:t>
      </w:r>
      <w:r w:rsidR="00F2514C">
        <w:t>,</w:t>
      </w:r>
      <w:r w:rsidR="001B74EB">
        <w:t xml:space="preserve"> if available. </w:t>
      </w:r>
    </w:p>
    <w:p w14:paraId="2B16DE2A" w14:textId="77777777" w:rsidR="00A47CB9" w:rsidRDefault="0035185F" w:rsidP="00D27B37">
      <w:pPr>
        <w:pStyle w:val="ListParagraph"/>
        <w:numPr>
          <w:ilvl w:val="0"/>
          <w:numId w:val="28"/>
        </w:numPr>
      </w:pPr>
      <w:r>
        <w:t>Ensure</w:t>
      </w:r>
      <w:r w:rsidR="00A47CB9">
        <w:t xml:space="preserve"> facility management personnel and</w:t>
      </w:r>
      <w:r w:rsidR="005A0425">
        <w:t>,</w:t>
      </w:r>
      <w:r w:rsidR="00A47CB9">
        <w:t xml:space="preserve"> </w:t>
      </w:r>
      <w:r w:rsidR="001B74EB">
        <w:t>if applicable</w:t>
      </w:r>
      <w:r w:rsidR="005A0425">
        <w:t>,</w:t>
      </w:r>
      <w:r w:rsidR="00A47CB9">
        <w:t xml:space="preserve"> outsourced firms who </w:t>
      </w:r>
      <w:r w:rsidR="001B74EB">
        <w:t xml:space="preserve">maintain </w:t>
      </w:r>
      <w:r w:rsidR="00AE0331">
        <w:t>the</w:t>
      </w:r>
      <w:r w:rsidR="001B74EB">
        <w:t xml:space="preserve"> systems and/or </w:t>
      </w:r>
      <w:r w:rsidR="00A47CB9">
        <w:t xml:space="preserve">manage </w:t>
      </w:r>
      <w:r w:rsidR="00AE0331">
        <w:t>the</w:t>
      </w:r>
      <w:r w:rsidR="00A47CB9">
        <w:t xml:space="preserve"> facility</w:t>
      </w:r>
      <w:r w:rsidR="001B74EB">
        <w:t>,</w:t>
      </w:r>
      <w:r w:rsidR="00A47CB9">
        <w:t xml:space="preserve"> </w:t>
      </w:r>
      <w:r>
        <w:t>are available to</w:t>
      </w:r>
      <w:r w:rsidR="00A47CB9">
        <w:t xml:space="preserve"> </w:t>
      </w:r>
      <w:r w:rsidR="001B74EB">
        <w:t xml:space="preserve">answer questions, provide access, and </w:t>
      </w:r>
      <w:r w:rsidR="00A47CB9">
        <w:t>assist with the assessment</w:t>
      </w:r>
      <w:r w:rsidR="001B74EB">
        <w:t xml:space="preserve"> when required. </w:t>
      </w:r>
    </w:p>
    <w:p w14:paraId="2755B9F1" w14:textId="77777777" w:rsidR="000952D8" w:rsidRDefault="005A0425" w:rsidP="00D27B37">
      <w:pPr>
        <w:pStyle w:val="ListParagraph"/>
        <w:numPr>
          <w:ilvl w:val="0"/>
          <w:numId w:val="28"/>
        </w:numPr>
      </w:pPr>
      <w:r>
        <w:t>Ensure that potential Level II energy assessors conduct a</w:t>
      </w:r>
      <w:r w:rsidR="000952D8">
        <w:t xml:space="preserve"> preliminary energy assessment</w:t>
      </w:r>
      <w:r w:rsidR="007B6FA9">
        <w:t xml:space="preserve"> during the bidding process</w:t>
      </w:r>
      <w:r w:rsidR="000952D8">
        <w:t xml:space="preserve"> </w:t>
      </w:r>
      <w:r>
        <w:t>that provides a</w:t>
      </w:r>
      <w:r w:rsidR="0035185F">
        <w:t xml:space="preserve"> s</w:t>
      </w:r>
      <w:r w:rsidR="000952D8" w:rsidRPr="00FF5B26">
        <w:t xml:space="preserve">cope and price </w:t>
      </w:r>
      <w:r>
        <w:t xml:space="preserve">for </w:t>
      </w:r>
      <w:r w:rsidR="000952D8" w:rsidRPr="00FF5B26">
        <w:t>the</w:t>
      </w:r>
      <w:r w:rsidR="000952D8">
        <w:t xml:space="preserve"> energy</w:t>
      </w:r>
      <w:r w:rsidR="000952D8" w:rsidRPr="00FF5B26">
        <w:t xml:space="preserve"> assessment</w:t>
      </w:r>
      <w:r w:rsidR="00D27B37">
        <w:t xml:space="preserve"> and d</w:t>
      </w:r>
      <w:r w:rsidR="000952D8" w:rsidRPr="00FF5B26">
        <w:t>etermine</w:t>
      </w:r>
      <w:r>
        <w:t>s</w:t>
      </w:r>
      <w:r w:rsidR="000952D8" w:rsidRPr="00FF5B26">
        <w:t xml:space="preserve"> </w:t>
      </w:r>
      <w:r w:rsidR="007B6FA9">
        <w:t>the potential for RCx</w:t>
      </w:r>
      <w:r w:rsidR="000952D8" w:rsidRPr="00FF5B26">
        <w:t xml:space="preserve">. </w:t>
      </w:r>
    </w:p>
    <w:p w14:paraId="1ECB0D5F" w14:textId="58BE8FE8" w:rsidR="00C66D22" w:rsidRDefault="00592052" w:rsidP="005E4DDE">
      <w:pPr>
        <w:pStyle w:val="Heading3"/>
      </w:pPr>
      <w:bookmarkStart w:id="401" w:name="_Toc445462970"/>
      <w:r>
        <w:t>2.5.1</w:t>
      </w:r>
      <w:r>
        <w:tab/>
      </w:r>
      <w:r w:rsidR="0003491F" w:rsidRPr="0003491F">
        <w:t xml:space="preserve">Owner and </w:t>
      </w:r>
      <w:r w:rsidR="0003491F" w:rsidRPr="005E4DDE">
        <w:t>Tenant</w:t>
      </w:r>
      <w:r w:rsidR="0003491F" w:rsidRPr="0003491F">
        <w:t xml:space="preserve"> Responsibilities</w:t>
      </w:r>
      <w:bookmarkEnd w:id="401"/>
    </w:p>
    <w:p w14:paraId="6ECCBF8A" w14:textId="77777777" w:rsidR="00D27B37" w:rsidRDefault="00D27B37" w:rsidP="00D27B37">
      <w:r w:rsidRPr="006A42E6">
        <w:t xml:space="preserve">If the owner decides to pass </w:t>
      </w:r>
      <w:r w:rsidR="005A0425">
        <w:t>any capital</w:t>
      </w:r>
      <w:r>
        <w:t xml:space="preserve"> costs </w:t>
      </w:r>
      <w:r w:rsidR="005A0425">
        <w:t xml:space="preserve">related to complying with these requirements </w:t>
      </w:r>
      <w:r>
        <w:t>through to tenants</w:t>
      </w:r>
      <w:r w:rsidRPr="006A42E6">
        <w:t xml:space="preserve">, </w:t>
      </w:r>
      <w:r>
        <w:t xml:space="preserve">please note that the City Manager Rules require that </w:t>
      </w:r>
      <w:r w:rsidRPr="006A42E6">
        <w:t>these costs be amortized</w:t>
      </w:r>
      <w:r>
        <w:t xml:space="preserve"> as follows, </w:t>
      </w:r>
      <w:r w:rsidRPr="00284163">
        <w:rPr>
          <w:szCs w:val="24"/>
        </w:rPr>
        <w:t>rather than passed through in a b</w:t>
      </w:r>
      <w:r>
        <w:rPr>
          <w:szCs w:val="24"/>
        </w:rPr>
        <w:t>ulk assessment in a single year:</w:t>
      </w:r>
    </w:p>
    <w:p w14:paraId="3FDCFCA8" w14:textId="77777777" w:rsidR="00D27B37" w:rsidRPr="00151504" w:rsidRDefault="00D27B37" w:rsidP="00D27B37">
      <w:pPr>
        <w:pStyle w:val="ListParagraph"/>
        <w:numPr>
          <w:ilvl w:val="0"/>
          <w:numId w:val="29"/>
        </w:numPr>
        <w:spacing w:after="240" w:line="240" w:lineRule="auto"/>
      </w:pPr>
      <w:r>
        <w:rPr>
          <w:szCs w:val="24"/>
        </w:rPr>
        <w:t>For the energy assessment and RCx study:</w:t>
      </w:r>
      <w:r w:rsidRPr="00284163">
        <w:rPr>
          <w:szCs w:val="24"/>
        </w:rPr>
        <w:t xml:space="preserve"> </w:t>
      </w:r>
      <w:r>
        <w:rPr>
          <w:szCs w:val="24"/>
        </w:rPr>
        <w:t>c</w:t>
      </w:r>
      <w:r w:rsidRPr="002A40DC">
        <w:t>osts</w:t>
      </w:r>
      <w:r w:rsidRPr="00284163">
        <w:rPr>
          <w:szCs w:val="24"/>
        </w:rPr>
        <w:t xml:space="preserve"> </w:t>
      </w:r>
      <w:r w:rsidRPr="008E3B2B">
        <w:t>must</w:t>
      </w:r>
      <w:r w:rsidRPr="00284163">
        <w:rPr>
          <w:szCs w:val="24"/>
        </w:rPr>
        <w:t xml:space="preserve"> be amortized over a 10-yea</w:t>
      </w:r>
      <w:r>
        <w:rPr>
          <w:szCs w:val="24"/>
        </w:rPr>
        <w:t>r period</w:t>
      </w:r>
      <w:r w:rsidR="00EF703A">
        <w:rPr>
          <w:szCs w:val="24"/>
        </w:rPr>
        <w:t>.</w:t>
      </w:r>
      <w:r>
        <w:rPr>
          <w:szCs w:val="24"/>
        </w:rPr>
        <w:t xml:space="preserve"> </w:t>
      </w:r>
    </w:p>
    <w:p w14:paraId="1BD585AF" w14:textId="77777777" w:rsidR="00D27B37" w:rsidRDefault="00D27B37" w:rsidP="00D27B37">
      <w:pPr>
        <w:pStyle w:val="ListParagraph"/>
        <w:numPr>
          <w:ilvl w:val="0"/>
          <w:numId w:val="29"/>
        </w:numPr>
        <w:spacing w:after="240" w:line="240" w:lineRule="auto"/>
      </w:pPr>
      <w:r>
        <w:rPr>
          <w:szCs w:val="24"/>
        </w:rPr>
        <w:t xml:space="preserve">For </w:t>
      </w:r>
      <w:r w:rsidRPr="00284163">
        <w:rPr>
          <w:szCs w:val="24"/>
        </w:rPr>
        <w:t>the require</w:t>
      </w:r>
      <w:r>
        <w:rPr>
          <w:szCs w:val="24"/>
        </w:rPr>
        <w:t>d</w:t>
      </w:r>
      <w:r w:rsidRPr="00284163">
        <w:rPr>
          <w:szCs w:val="24"/>
        </w:rPr>
        <w:t xml:space="preserve"> </w:t>
      </w:r>
      <w:r>
        <w:rPr>
          <w:szCs w:val="24"/>
        </w:rPr>
        <w:t>RCx</w:t>
      </w:r>
      <w:r w:rsidRPr="00284163">
        <w:rPr>
          <w:szCs w:val="24"/>
        </w:rPr>
        <w:t xml:space="preserve"> measure implementation</w:t>
      </w:r>
      <w:r>
        <w:rPr>
          <w:szCs w:val="24"/>
        </w:rPr>
        <w:t xml:space="preserve">: </w:t>
      </w:r>
      <w:r w:rsidRPr="00284163">
        <w:rPr>
          <w:szCs w:val="24"/>
        </w:rPr>
        <w:t xml:space="preserve">costs must be amortized over the length of the predicted payback period (as determined by the </w:t>
      </w:r>
      <w:proofErr w:type="spellStart"/>
      <w:r w:rsidRPr="00284163">
        <w:rPr>
          <w:szCs w:val="24"/>
        </w:rPr>
        <w:t>Retrocommissioning</w:t>
      </w:r>
      <w:proofErr w:type="spellEnd"/>
      <w:r w:rsidRPr="00284163">
        <w:rPr>
          <w:szCs w:val="24"/>
        </w:rPr>
        <w:t xml:space="preserve"> Professional</w:t>
      </w:r>
      <w:r>
        <w:rPr>
          <w:szCs w:val="24"/>
        </w:rPr>
        <w:t>)</w:t>
      </w:r>
      <w:r w:rsidR="00EF703A">
        <w:rPr>
          <w:szCs w:val="24"/>
        </w:rPr>
        <w:t>.</w:t>
      </w:r>
    </w:p>
    <w:p w14:paraId="69765D71" w14:textId="77777777" w:rsidR="00BD22DA" w:rsidRDefault="00BD22DA" w:rsidP="00BD22DA">
      <w:r w:rsidRPr="005B3216">
        <w:t xml:space="preserve">The </w:t>
      </w:r>
      <w:r w:rsidR="00F95C26">
        <w:t>c</w:t>
      </w:r>
      <w:r w:rsidR="00AC355F">
        <w:t>ity</w:t>
      </w:r>
      <w:r w:rsidRPr="005B3216">
        <w:t xml:space="preserve"> has </w:t>
      </w:r>
      <w:r w:rsidR="005A0425">
        <w:t>developed</w:t>
      </w:r>
      <w:r w:rsidR="005A0425" w:rsidRPr="005B3216">
        <w:t xml:space="preserve"> </w:t>
      </w:r>
      <w:r w:rsidRPr="005B3216">
        <w:t xml:space="preserve">a </w:t>
      </w:r>
      <w:commentRangeStart w:id="402"/>
      <w:r>
        <w:fldChar w:fldCharType="begin"/>
      </w:r>
      <w:r>
        <w:instrText>HYPERLINK "https://www-static.bouldercolorado.gov/docs/Guidance_for_Overcoming_Split_Incentives-1-201602031712.pdf"</w:instrText>
      </w:r>
      <w:r>
        <w:fldChar w:fldCharType="separate"/>
      </w:r>
      <w:r w:rsidRPr="00A5420D">
        <w:rPr>
          <w:rStyle w:val="Hyperlink"/>
        </w:rPr>
        <w:t>Split Incentive Guide</w:t>
      </w:r>
      <w:r>
        <w:fldChar w:fldCharType="end"/>
      </w:r>
      <w:commentRangeEnd w:id="402"/>
      <w:r w:rsidR="00953848">
        <w:rPr>
          <w:rStyle w:val="CommentReference"/>
        </w:rPr>
        <w:commentReference w:id="402"/>
      </w:r>
      <w:r w:rsidRPr="005B3216">
        <w:t xml:space="preserve"> to </w:t>
      </w:r>
      <w:r>
        <w:t xml:space="preserve">help distinguish the specific responsibilities of the building owners and tenants as it relates to compliance with the ordinance. In general, the building owner is responsible </w:t>
      </w:r>
      <w:r w:rsidR="005A0425">
        <w:t xml:space="preserve">for </w:t>
      </w:r>
      <w:r>
        <w:t>implement</w:t>
      </w:r>
      <w:r w:rsidR="005A0425">
        <w:t>ing</w:t>
      </w:r>
      <w:r>
        <w:t xml:space="preserve"> the energy assessment </w:t>
      </w:r>
      <w:r w:rsidR="001148C5">
        <w:t xml:space="preserve">and RCx </w:t>
      </w:r>
      <w:r>
        <w:t xml:space="preserve">within the required timeframe. </w:t>
      </w:r>
    </w:p>
    <w:p w14:paraId="7CEBB434" w14:textId="77777777" w:rsidR="005E4DDE" w:rsidRDefault="00BD22DA" w:rsidP="005E4DDE">
      <w:r w:rsidRPr="001C4A01">
        <w:t xml:space="preserve">If a tenant owns the lighting or HVAC systems, it is still the responsibility of the owner to ensure that all requirements are met. Depending on the lease arrangements, the financial responsibility for the upgrade may fall to the tenant. </w:t>
      </w:r>
      <w:bookmarkStart w:id="403" w:name="_Toc445462971"/>
      <w:bookmarkStart w:id="404" w:name="_Ref446942133"/>
    </w:p>
    <w:p w14:paraId="796D2E44" w14:textId="564B6950" w:rsidR="00C66D22" w:rsidRDefault="00592052" w:rsidP="005E4DDE">
      <w:pPr>
        <w:pStyle w:val="Heading3"/>
      </w:pPr>
      <w:r>
        <w:lastRenderedPageBreak/>
        <w:t>2.5.2</w:t>
      </w:r>
      <w:r>
        <w:tab/>
      </w:r>
      <w:r w:rsidR="005A0425">
        <w:t xml:space="preserve">Service </w:t>
      </w:r>
      <w:r w:rsidR="0003491F" w:rsidRPr="0003491F">
        <w:t xml:space="preserve">Provider </w:t>
      </w:r>
      <w:r w:rsidR="0003491F" w:rsidRPr="005E4DDE">
        <w:t>Responsibilities</w:t>
      </w:r>
      <w:bookmarkEnd w:id="403"/>
      <w:bookmarkEnd w:id="404"/>
    </w:p>
    <w:p w14:paraId="6C94DED0" w14:textId="30F61C5F" w:rsidR="00BD22DA" w:rsidRDefault="00BD22DA" w:rsidP="00BD22DA">
      <w:r w:rsidRPr="00501DFB">
        <w:t xml:space="preserve">The </w:t>
      </w:r>
      <w:r w:rsidR="005A0425">
        <w:t xml:space="preserve">service </w:t>
      </w:r>
      <w:r w:rsidRPr="00501DFB">
        <w:t xml:space="preserve">provider is responsible </w:t>
      </w:r>
      <w:r w:rsidR="001148C5">
        <w:t>for</w:t>
      </w:r>
      <w:r w:rsidR="001148C5" w:rsidRPr="00501DFB">
        <w:t xml:space="preserve"> </w:t>
      </w:r>
      <w:r w:rsidRPr="00501DFB">
        <w:t>carry</w:t>
      </w:r>
      <w:r w:rsidR="001148C5">
        <w:t>ing</w:t>
      </w:r>
      <w:r w:rsidRPr="00501DFB">
        <w:t xml:space="preserve"> out the services they are contracted to perform wi</w:t>
      </w:r>
      <w:r>
        <w:t xml:space="preserve">th the owner. This includes </w:t>
      </w:r>
      <w:r w:rsidR="00FE05B2">
        <w:t xml:space="preserve">meeting the scope and requirements outlined in the </w:t>
      </w:r>
      <w:hyperlink r:id="rId47" w:history="1">
        <w:r w:rsidR="00FE05B2" w:rsidRPr="00FE05B2">
          <w:rPr>
            <w:rStyle w:val="Hyperlink"/>
          </w:rPr>
          <w:t>City Manager Rules</w:t>
        </w:r>
      </w:hyperlink>
      <w:r w:rsidR="00FE05B2">
        <w:t xml:space="preserve"> such as the required reporting to the City of Boulder</w:t>
      </w:r>
      <w:r>
        <w:t xml:space="preserve"> </w:t>
      </w:r>
      <w:r w:rsidR="00B9709D">
        <w:t xml:space="preserve">as </w:t>
      </w:r>
      <w:r w:rsidR="00FE05B2">
        <w:t>described</w:t>
      </w:r>
      <w:r w:rsidR="00B9709D" w:rsidRPr="00F2514C">
        <w:t xml:space="preserve"> </w:t>
      </w:r>
      <w:r w:rsidR="00FE05B2">
        <w:t xml:space="preserve">in </w:t>
      </w:r>
      <w:r w:rsidR="009C5E1C">
        <w:fldChar w:fldCharType="begin"/>
      </w:r>
      <w:r w:rsidR="009C5E1C">
        <w:instrText xml:space="preserve"> REF _Ref447010379 \h  \* MERGEFORMAT </w:instrText>
      </w:r>
      <w:r w:rsidR="009C5E1C">
        <w:fldChar w:fldCharType="separate"/>
      </w:r>
      <w:r w:rsidR="00324ADD" w:rsidRPr="00CB1FA9">
        <w:rPr>
          <w:b/>
        </w:rPr>
        <w:t>2.6</w:t>
      </w:r>
      <w:r w:rsidR="00324ADD" w:rsidRPr="00CB1FA9">
        <w:rPr>
          <w:b/>
        </w:rPr>
        <w:tab/>
        <w:t>Reporting Findings to the</w:t>
      </w:r>
      <w:r w:rsidR="00324ADD" w:rsidRPr="006D77FB">
        <w:t xml:space="preserve"> </w:t>
      </w:r>
      <w:r w:rsidR="00324ADD">
        <w:t>City</w:t>
      </w:r>
      <w:r w:rsidR="009C5E1C">
        <w:fldChar w:fldCharType="end"/>
      </w:r>
      <w:r>
        <w:t xml:space="preserve">. </w:t>
      </w:r>
    </w:p>
    <w:p w14:paraId="2634B1FF" w14:textId="033AA404" w:rsidR="004B2597" w:rsidRDefault="004E166F" w:rsidP="004B2597">
      <w:r>
        <w:t xml:space="preserve">As part of the </w:t>
      </w:r>
      <w:r w:rsidR="00DE10F6">
        <w:t xml:space="preserve">Level II </w:t>
      </w:r>
      <w:r>
        <w:t>energy assessment</w:t>
      </w:r>
      <w:r w:rsidR="007B6FA9">
        <w:t xml:space="preserve"> bidding process</w:t>
      </w:r>
      <w:r>
        <w:t>,</w:t>
      </w:r>
      <w:r w:rsidR="00527E0A">
        <w:t xml:space="preserve"> the</w:t>
      </w:r>
      <w:r w:rsidR="00FE05B2">
        <w:t xml:space="preserve"> City Manager Rules require the</w:t>
      </w:r>
      <w:r w:rsidR="00527E0A">
        <w:t xml:space="preserve"> </w:t>
      </w:r>
      <w:r w:rsidR="00FE05B2">
        <w:t xml:space="preserve">service </w:t>
      </w:r>
      <w:r w:rsidR="00527E0A">
        <w:t xml:space="preserve">provider complete a preliminary site visit </w:t>
      </w:r>
      <w:r w:rsidR="00527E0A" w:rsidRPr="00041AB1">
        <w:t>to scope and price the</w:t>
      </w:r>
      <w:r w:rsidR="00527E0A">
        <w:t xml:space="preserve"> </w:t>
      </w:r>
      <w:r w:rsidR="004B2597">
        <w:t>assessment</w:t>
      </w:r>
      <w:r w:rsidR="001148C5">
        <w:t xml:space="preserve"> and</w:t>
      </w:r>
      <w:r w:rsidR="007B6FA9">
        <w:t xml:space="preserve"> conduct</w:t>
      </w:r>
      <w:r w:rsidR="001148C5">
        <w:t xml:space="preserve"> </w:t>
      </w:r>
      <w:r w:rsidR="007B6FA9">
        <w:t xml:space="preserve">a quick evaluation to </w:t>
      </w:r>
      <w:r w:rsidR="00F90C16">
        <w:t xml:space="preserve">determine if there are any possible RCx opportunities </w:t>
      </w:r>
      <w:r w:rsidR="00041AB1">
        <w:t xml:space="preserve">for </w:t>
      </w:r>
      <w:r w:rsidR="00A03006">
        <w:t xml:space="preserve">the </w:t>
      </w:r>
      <w:r w:rsidR="00041AB1">
        <w:t>building.</w:t>
      </w:r>
      <w:r w:rsidR="00D27B37" w:rsidRPr="00D27B37">
        <w:t xml:space="preserve"> </w:t>
      </w:r>
      <w:r w:rsidR="00D27B37" w:rsidRPr="00FF5B26">
        <w:t>This</w:t>
      </w:r>
      <w:r w:rsidR="00D27B37">
        <w:t xml:space="preserve"> RCx</w:t>
      </w:r>
      <w:r w:rsidR="00D27B37" w:rsidRPr="00FF5B26">
        <w:t xml:space="preserve"> recommendation is based upon factors such as level of building controls, operations practices, current equipment scheduling and operability of equipment.</w:t>
      </w:r>
      <w:r w:rsidR="00D27B37">
        <w:t xml:space="preserve"> </w:t>
      </w:r>
      <w:r w:rsidR="00041AB1">
        <w:t xml:space="preserve">If the provider determines </w:t>
      </w:r>
      <w:r w:rsidR="00F97756">
        <w:t>the building</w:t>
      </w:r>
      <w:r w:rsidR="00041AB1">
        <w:t xml:space="preserve"> is not recommended for retro</w:t>
      </w:r>
      <w:r w:rsidR="007A02A2">
        <w:t>-</w:t>
      </w:r>
      <w:r w:rsidR="00041AB1">
        <w:t xml:space="preserve">commissioning, </w:t>
      </w:r>
      <w:r w:rsidR="00F97756">
        <w:t xml:space="preserve">the building owner </w:t>
      </w:r>
      <w:r w:rsidR="00041AB1">
        <w:t xml:space="preserve">will need </w:t>
      </w:r>
      <w:r w:rsidR="00F97756">
        <w:t xml:space="preserve">a </w:t>
      </w:r>
      <w:r w:rsidR="00041AB1">
        <w:t>statement</w:t>
      </w:r>
      <w:r w:rsidR="00F97756">
        <w:t xml:space="preserve"> including justification</w:t>
      </w:r>
      <w:r w:rsidR="001148C5">
        <w:t xml:space="preserve"> from the provider</w:t>
      </w:r>
      <w:r w:rsidR="00F97756">
        <w:t xml:space="preserve"> for</w:t>
      </w:r>
      <w:r w:rsidR="00041AB1">
        <w:t xml:space="preserve"> </w:t>
      </w:r>
      <w:r w:rsidR="00F97756">
        <w:t xml:space="preserve">not recommending </w:t>
      </w:r>
      <w:r w:rsidR="00CE665F">
        <w:t>RCx</w:t>
      </w:r>
      <w:r w:rsidR="006764CB">
        <w:t xml:space="preserve"> in order to apply for an exemption from RCx as outli</w:t>
      </w:r>
      <w:r w:rsidR="006764CB" w:rsidRPr="006764CB">
        <w:t>ne</w:t>
      </w:r>
      <w:r w:rsidR="00F66B3C">
        <w:t>d</w:t>
      </w:r>
      <w:r w:rsidR="006764CB" w:rsidRPr="006764CB">
        <w:t xml:space="preserve"> in</w:t>
      </w:r>
      <w:r w:rsidR="00F66B3C">
        <w:t xml:space="preserve"> the </w:t>
      </w:r>
      <w:hyperlink r:id="rId48" w:history="1">
        <w:r w:rsidR="00BF6DB3" w:rsidRPr="00BF6DB3">
          <w:rPr>
            <w:rStyle w:val="Hyperlink"/>
          </w:rPr>
          <w:t>Exemption Reference Guide</w:t>
        </w:r>
      </w:hyperlink>
      <w:r w:rsidR="00BF6DB3">
        <w:t xml:space="preserve">. </w:t>
      </w:r>
      <w:r w:rsidR="007B6FA9">
        <w:t>However, if there is potential for RCx, the service provider must submit the bid with a scope and price estimate for the energy assessment alone and concurrently provided with RCx.</w:t>
      </w:r>
    </w:p>
    <w:p w14:paraId="4E9D54C9" w14:textId="749F72C0" w:rsidR="00333397" w:rsidRDefault="001F72B7" w:rsidP="004B2597">
      <w:r>
        <w:rPr>
          <w:szCs w:val="24"/>
        </w:rPr>
        <w:t>Per</w:t>
      </w:r>
      <w:r w:rsidR="00333397">
        <w:rPr>
          <w:szCs w:val="24"/>
        </w:rPr>
        <w:t xml:space="preserve"> the </w:t>
      </w:r>
      <w:r w:rsidR="000354AC">
        <w:rPr>
          <w:szCs w:val="24"/>
        </w:rPr>
        <w:t>C</w:t>
      </w:r>
      <w:r w:rsidR="00D51DF2">
        <w:rPr>
          <w:szCs w:val="24"/>
        </w:rPr>
        <w:t>ity</w:t>
      </w:r>
      <w:r w:rsidR="00333397">
        <w:rPr>
          <w:szCs w:val="24"/>
        </w:rPr>
        <w:t xml:space="preserve"> Manager Rules, the energy assessor </w:t>
      </w:r>
      <w:r w:rsidR="00333397" w:rsidRPr="00D60235">
        <w:rPr>
          <w:szCs w:val="24"/>
        </w:rPr>
        <w:t xml:space="preserve">is </w:t>
      </w:r>
      <w:r w:rsidR="00333397">
        <w:rPr>
          <w:szCs w:val="24"/>
        </w:rPr>
        <w:t xml:space="preserve">also </w:t>
      </w:r>
      <w:r w:rsidR="00333397" w:rsidRPr="00D60235">
        <w:rPr>
          <w:szCs w:val="24"/>
        </w:rPr>
        <w:t>required to assess</w:t>
      </w:r>
      <w:r w:rsidR="005E4DDE">
        <w:rPr>
          <w:szCs w:val="24"/>
        </w:rPr>
        <w:t xml:space="preserve"> at a high-level</w:t>
      </w:r>
      <w:r w:rsidR="00333397" w:rsidRPr="00D60235">
        <w:rPr>
          <w:szCs w:val="24"/>
        </w:rPr>
        <w:t xml:space="preserve"> </w:t>
      </w:r>
      <w:r w:rsidR="00333397">
        <w:rPr>
          <w:szCs w:val="24"/>
        </w:rPr>
        <w:t>whether</w:t>
      </w:r>
      <w:r w:rsidR="00333397" w:rsidRPr="00D60235">
        <w:rPr>
          <w:szCs w:val="24"/>
        </w:rPr>
        <w:t xml:space="preserve"> the building is currently in compliance with the</w:t>
      </w:r>
      <w:r>
        <w:rPr>
          <w:szCs w:val="24"/>
        </w:rPr>
        <w:t xml:space="preserve"> ordinance</w:t>
      </w:r>
      <w:r w:rsidR="00333397" w:rsidRPr="00D60235">
        <w:rPr>
          <w:szCs w:val="24"/>
        </w:rPr>
        <w:t xml:space="preserve"> lighting upgrade</w:t>
      </w:r>
      <w:r>
        <w:rPr>
          <w:szCs w:val="24"/>
        </w:rPr>
        <w:t xml:space="preserve"> requirement</w:t>
      </w:r>
      <w:r w:rsidR="00333397">
        <w:rPr>
          <w:szCs w:val="24"/>
        </w:rPr>
        <w:t xml:space="preserve">, as part of either a Level I or Level II </w:t>
      </w:r>
      <w:r w:rsidR="007B6FA9">
        <w:rPr>
          <w:szCs w:val="24"/>
        </w:rPr>
        <w:t xml:space="preserve">energy </w:t>
      </w:r>
      <w:r w:rsidR="00333397">
        <w:rPr>
          <w:szCs w:val="24"/>
        </w:rPr>
        <w:t>assessment</w:t>
      </w:r>
    </w:p>
    <w:p w14:paraId="04CA71FF" w14:textId="4E7A0D80" w:rsidR="008B2C7D" w:rsidRDefault="00592052" w:rsidP="005E4DDE">
      <w:pPr>
        <w:pStyle w:val="Heading2"/>
      </w:pPr>
      <w:bookmarkStart w:id="405" w:name="_Ref447010379"/>
      <w:bookmarkStart w:id="406" w:name="_Toc530563762"/>
      <w:r>
        <w:t>2.6</w:t>
      </w:r>
      <w:r>
        <w:tab/>
      </w:r>
      <w:r w:rsidR="0003491F" w:rsidRPr="0003491F">
        <w:t>Report</w:t>
      </w:r>
      <w:r w:rsidR="002116FC">
        <w:t>ing</w:t>
      </w:r>
      <w:r w:rsidR="0003491F" w:rsidRPr="0003491F">
        <w:t xml:space="preserve"> Findings to </w:t>
      </w:r>
      <w:r w:rsidR="006D77FB" w:rsidRPr="006D77FB">
        <w:t xml:space="preserve">the </w:t>
      </w:r>
      <w:r w:rsidR="000354AC">
        <w:t>C</w:t>
      </w:r>
      <w:r w:rsidR="00D51DF2">
        <w:t>ity</w:t>
      </w:r>
      <w:bookmarkEnd w:id="405"/>
      <w:bookmarkEnd w:id="406"/>
    </w:p>
    <w:p w14:paraId="2E44AFFD" w14:textId="77777777" w:rsidR="00324ADD" w:rsidRPr="00324ADD" w:rsidRDefault="008869F6" w:rsidP="00324ADD">
      <w:pPr>
        <w:rPr>
          <w:b/>
          <w:color w:val="FF9900" w:themeColor="text1"/>
        </w:rPr>
      </w:pPr>
      <w:bookmarkStart w:id="407" w:name="_Toc445822260"/>
      <w:bookmarkStart w:id="408" w:name="_Toc445822385"/>
      <w:bookmarkStart w:id="409" w:name="_Toc445822509"/>
      <w:bookmarkStart w:id="410" w:name="_Toc445822631"/>
      <w:bookmarkStart w:id="411" w:name="_Toc445822753"/>
      <w:bookmarkStart w:id="412" w:name="_Toc445822874"/>
      <w:bookmarkStart w:id="413" w:name="_Toc445822995"/>
      <w:bookmarkStart w:id="414" w:name="_Toc445823116"/>
      <w:bookmarkStart w:id="415" w:name="_Toc445823237"/>
      <w:bookmarkStart w:id="416" w:name="_Toc445823358"/>
      <w:bookmarkStart w:id="417" w:name="_Toc445823479"/>
      <w:bookmarkStart w:id="418" w:name="_Toc445823600"/>
      <w:bookmarkStart w:id="419" w:name="_Toc445823721"/>
      <w:bookmarkStart w:id="420" w:name="_Toc445823842"/>
      <w:bookmarkStart w:id="421" w:name="_Toc445823964"/>
      <w:bookmarkStart w:id="422" w:name="_Toc445824086"/>
      <w:bookmarkStart w:id="423" w:name="_Toc445906729"/>
      <w:bookmarkStart w:id="424" w:name="_Toc445906887"/>
      <w:bookmarkStart w:id="425" w:name="_Toc445907043"/>
      <w:bookmarkStart w:id="426" w:name="_Toc445907199"/>
      <w:bookmarkStart w:id="427" w:name="_Toc445907357"/>
      <w:bookmarkStart w:id="428" w:name="_Toc445907513"/>
      <w:bookmarkStart w:id="429" w:name="_Toc445907669"/>
      <w:bookmarkStart w:id="430" w:name="_Toc445907825"/>
      <w:bookmarkStart w:id="431" w:name="_Toc445907981"/>
      <w:bookmarkStart w:id="432" w:name="_Toc445822261"/>
      <w:bookmarkStart w:id="433" w:name="_Toc445822386"/>
      <w:bookmarkStart w:id="434" w:name="_Toc445822510"/>
      <w:bookmarkStart w:id="435" w:name="_Toc445822632"/>
      <w:bookmarkStart w:id="436" w:name="_Toc445822754"/>
      <w:bookmarkStart w:id="437" w:name="_Toc445822875"/>
      <w:bookmarkStart w:id="438" w:name="_Toc445822996"/>
      <w:bookmarkStart w:id="439" w:name="_Toc445823117"/>
      <w:bookmarkStart w:id="440" w:name="_Toc445823238"/>
      <w:bookmarkStart w:id="441" w:name="_Toc445823359"/>
      <w:bookmarkStart w:id="442" w:name="_Toc445823480"/>
      <w:bookmarkStart w:id="443" w:name="_Toc445823601"/>
      <w:bookmarkStart w:id="444" w:name="_Toc445823722"/>
      <w:bookmarkStart w:id="445" w:name="_Toc445823843"/>
      <w:bookmarkStart w:id="446" w:name="_Toc445823965"/>
      <w:bookmarkStart w:id="447" w:name="_Toc445824087"/>
      <w:bookmarkStart w:id="448" w:name="_Toc445906730"/>
      <w:bookmarkStart w:id="449" w:name="_Toc445906888"/>
      <w:bookmarkStart w:id="450" w:name="_Toc445907044"/>
      <w:bookmarkStart w:id="451" w:name="_Toc445907200"/>
      <w:bookmarkStart w:id="452" w:name="_Toc445907358"/>
      <w:bookmarkStart w:id="453" w:name="_Toc445907514"/>
      <w:bookmarkStart w:id="454" w:name="_Toc445907670"/>
      <w:bookmarkStart w:id="455" w:name="_Toc445907826"/>
      <w:bookmarkStart w:id="456" w:name="_Toc445907982"/>
      <w:bookmarkStart w:id="457" w:name="_Toc445822262"/>
      <w:bookmarkStart w:id="458" w:name="_Toc445822387"/>
      <w:bookmarkStart w:id="459" w:name="_Toc445822511"/>
      <w:bookmarkStart w:id="460" w:name="_Toc445822633"/>
      <w:bookmarkStart w:id="461" w:name="_Toc445822755"/>
      <w:bookmarkStart w:id="462" w:name="_Toc445822876"/>
      <w:bookmarkStart w:id="463" w:name="_Toc445822997"/>
      <w:bookmarkStart w:id="464" w:name="_Toc445823118"/>
      <w:bookmarkStart w:id="465" w:name="_Toc445823239"/>
      <w:bookmarkStart w:id="466" w:name="_Toc445823360"/>
      <w:bookmarkStart w:id="467" w:name="_Toc445823481"/>
      <w:bookmarkStart w:id="468" w:name="_Toc445823602"/>
      <w:bookmarkStart w:id="469" w:name="_Toc445823723"/>
      <w:bookmarkStart w:id="470" w:name="_Toc445823844"/>
      <w:bookmarkStart w:id="471" w:name="_Toc445823966"/>
      <w:bookmarkStart w:id="472" w:name="_Toc445824088"/>
      <w:bookmarkStart w:id="473" w:name="_Toc445906731"/>
      <w:bookmarkStart w:id="474" w:name="_Toc445906889"/>
      <w:bookmarkStart w:id="475" w:name="_Toc445907045"/>
      <w:bookmarkStart w:id="476" w:name="_Toc445907201"/>
      <w:bookmarkStart w:id="477" w:name="_Toc445907359"/>
      <w:bookmarkStart w:id="478" w:name="_Toc445907515"/>
      <w:bookmarkStart w:id="479" w:name="_Toc445907671"/>
      <w:bookmarkStart w:id="480" w:name="_Toc445907827"/>
      <w:bookmarkStart w:id="481" w:name="_Toc445907983"/>
      <w:bookmarkStart w:id="482" w:name="_Toc445822263"/>
      <w:bookmarkStart w:id="483" w:name="_Toc445822388"/>
      <w:bookmarkStart w:id="484" w:name="_Toc445822512"/>
      <w:bookmarkStart w:id="485" w:name="_Toc445822634"/>
      <w:bookmarkStart w:id="486" w:name="_Toc445822756"/>
      <w:bookmarkStart w:id="487" w:name="_Toc445822877"/>
      <w:bookmarkStart w:id="488" w:name="_Toc445822998"/>
      <w:bookmarkStart w:id="489" w:name="_Toc445823119"/>
      <w:bookmarkStart w:id="490" w:name="_Toc445823240"/>
      <w:bookmarkStart w:id="491" w:name="_Toc445823361"/>
      <w:bookmarkStart w:id="492" w:name="_Toc445823482"/>
      <w:bookmarkStart w:id="493" w:name="_Toc445823603"/>
      <w:bookmarkStart w:id="494" w:name="_Toc445823724"/>
      <w:bookmarkStart w:id="495" w:name="_Toc445823845"/>
      <w:bookmarkStart w:id="496" w:name="_Toc445823967"/>
      <w:bookmarkStart w:id="497" w:name="_Toc445824089"/>
      <w:bookmarkStart w:id="498" w:name="_Toc445906732"/>
      <w:bookmarkStart w:id="499" w:name="_Toc445906890"/>
      <w:bookmarkStart w:id="500" w:name="_Toc445907046"/>
      <w:bookmarkStart w:id="501" w:name="_Toc445907202"/>
      <w:bookmarkStart w:id="502" w:name="_Toc445907360"/>
      <w:bookmarkStart w:id="503" w:name="_Toc445907516"/>
      <w:bookmarkStart w:id="504" w:name="_Toc445907672"/>
      <w:bookmarkStart w:id="505" w:name="_Toc445907828"/>
      <w:bookmarkStart w:id="506" w:name="_Toc445907984"/>
      <w:bookmarkStart w:id="507" w:name="_Toc445822264"/>
      <w:bookmarkStart w:id="508" w:name="_Toc445822389"/>
      <w:bookmarkStart w:id="509" w:name="_Toc445822513"/>
      <w:bookmarkStart w:id="510" w:name="_Toc445822635"/>
      <w:bookmarkStart w:id="511" w:name="_Toc445822757"/>
      <w:bookmarkStart w:id="512" w:name="_Toc445822878"/>
      <w:bookmarkStart w:id="513" w:name="_Toc445822999"/>
      <w:bookmarkStart w:id="514" w:name="_Toc445823120"/>
      <w:bookmarkStart w:id="515" w:name="_Toc445823241"/>
      <w:bookmarkStart w:id="516" w:name="_Toc445823362"/>
      <w:bookmarkStart w:id="517" w:name="_Toc445823483"/>
      <w:bookmarkStart w:id="518" w:name="_Toc445823604"/>
      <w:bookmarkStart w:id="519" w:name="_Toc445823725"/>
      <w:bookmarkStart w:id="520" w:name="_Toc445823846"/>
      <w:bookmarkStart w:id="521" w:name="_Toc445823968"/>
      <w:bookmarkStart w:id="522" w:name="_Toc445824090"/>
      <w:bookmarkStart w:id="523" w:name="_Toc445906733"/>
      <w:bookmarkStart w:id="524" w:name="_Toc445906891"/>
      <w:bookmarkStart w:id="525" w:name="_Toc445907047"/>
      <w:bookmarkStart w:id="526" w:name="_Toc445907203"/>
      <w:bookmarkStart w:id="527" w:name="_Toc445907361"/>
      <w:bookmarkStart w:id="528" w:name="_Toc445907517"/>
      <w:bookmarkStart w:id="529" w:name="_Toc445907673"/>
      <w:bookmarkStart w:id="530" w:name="_Toc445907829"/>
      <w:bookmarkStart w:id="531" w:name="_Toc445907985"/>
      <w:bookmarkStart w:id="532" w:name="_Toc445822265"/>
      <w:bookmarkStart w:id="533" w:name="_Toc445822390"/>
      <w:bookmarkStart w:id="534" w:name="_Toc445822514"/>
      <w:bookmarkStart w:id="535" w:name="_Toc445822636"/>
      <w:bookmarkStart w:id="536" w:name="_Toc445822758"/>
      <w:bookmarkStart w:id="537" w:name="_Toc445822879"/>
      <w:bookmarkStart w:id="538" w:name="_Toc445823000"/>
      <w:bookmarkStart w:id="539" w:name="_Toc445823121"/>
      <w:bookmarkStart w:id="540" w:name="_Toc445823242"/>
      <w:bookmarkStart w:id="541" w:name="_Toc445823363"/>
      <w:bookmarkStart w:id="542" w:name="_Toc445823484"/>
      <w:bookmarkStart w:id="543" w:name="_Toc445823605"/>
      <w:bookmarkStart w:id="544" w:name="_Toc445823726"/>
      <w:bookmarkStart w:id="545" w:name="_Toc445823847"/>
      <w:bookmarkStart w:id="546" w:name="_Toc445823969"/>
      <w:bookmarkStart w:id="547" w:name="_Toc445824091"/>
      <w:bookmarkStart w:id="548" w:name="_Toc445906734"/>
      <w:bookmarkStart w:id="549" w:name="_Toc445906892"/>
      <w:bookmarkStart w:id="550" w:name="_Toc445907048"/>
      <w:bookmarkStart w:id="551" w:name="_Toc445907204"/>
      <w:bookmarkStart w:id="552" w:name="_Toc445907362"/>
      <w:bookmarkStart w:id="553" w:name="_Toc445907518"/>
      <w:bookmarkStart w:id="554" w:name="_Toc445907674"/>
      <w:bookmarkStart w:id="555" w:name="_Toc445907830"/>
      <w:bookmarkStart w:id="556" w:name="_Toc445907986"/>
      <w:bookmarkStart w:id="557" w:name="_Toc445822266"/>
      <w:bookmarkStart w:id="558" w:name="_Toc445822391"/>
      <w:bookmarkStart w:id="559" w:name="_Toc445822515"/>
      <w:bookmarkStart w:id="560" w:name="_Toc445822637"/>
      <w:bookmarkStart w:id="561" w:name="_Toc445822759"/>
      <w:bookmarkStart w:id="562" w:name="_Toc445822880"/>
      <w:bookmarkStart w:id="563" w:name="_Toc445823001"/>
      <w:bookmarkStart w:id="564" w:name="_Toc445823122"/>
      <w:bookmarkStart w:id="565" w:name="_Toc445823243"/>
      <w:bookmarkStart w:id="566" w:name="_Toc445823364"/>
      <w:bookmarkStart w:id="567" w:name="_Toc445823485"/>
      <w:bookmarkStart w:id="568" w:name="_Toc445823606"/>
      <w:bookmarkStart w:id="569" w:name="_Toc445823727"/>
      <w:bookmarkStart w:id="570" w:name="_Toc445823848"/>
      <w:bookmarkStart w:id="571" w:name="_Toc445823970"/>
      <w:bookmarkStart w:id="572" w:name="_Toc445824092"/>
      <w:bookmarkStart w:id="573" w:name="_Toc445906735"/>
      <w:bookmarkStart w:id="574" w:name="_Toc445906893"/>
      <w:bookmarkStart w:id="575" w:name="_Toc445907049"/>
      <w:bookmarkStart w:id="576" w:name="_Toc445907205"/>
      <w:bookmarkStart w:id="577" w:name="_Toc445907363"/>
      <w:bookmarkStart w:id="578" w:name="_Toc445907519"/>
      <w:bookmarkStart w:id="579" w:name="_Toc445907675"/>
      <w:bookmarkStart w:id="580" w:name="_Toc445907831"/>
      <w:bookmarkStart w:id="581" w:name="_Toc445907987"/>
      <w:bookmarkStart w:id="582" w:name="_Toc445822267"/>
      <w:bookmarkStart w:id="583" w:name="_Toc445822392"/>
      <w:bookmarkStart w:id="584" w:name="_Toc445822516"/>
      <w:bookmarkStart w:id="585" w:name="_Toc445822638"/>
      <w:bookmarkStart w:id="586" w:name="_Toc445822760"/>
      <w:bookmarkStart w:id="587" w:name="_Toc445822881"/>
      <w:bookmarkStart w:id="588" w:name="_Toc445823002"/>
      <w:bookmarkStart w:id="589" w:name="_Toc445823123"/>
      <w:bookmarkStart w:id="590" w:name="_Toc445823244"/>
      <w:bookmarkStart w:id="591" w:name="_Toc445823365"/>
      <w:bookmarkStart w:id="592" w:name="_Toc445823486"/>
      <w:bookmarkStart w:id="593" w:name="_Toc445823607"/>
      <w:bookmarkStart w:id="594" w:name="_Toc445823728"/>
      <w:bookmarkStart w:id="595" w:name="_Toc445823849"/>
      <w:bookmarkStart w:id="596" w:name="_Toc445823971"/>
      <w:bookmarkStart w:id="597" w:name="_Toc445824093"/>
      <w:bookmarkStart w:id="598" w:name="_Toc445906736"/>
      <w:bookmarkStart w:id="599" w:name="_Toc445906894"/>
      <w:bookmarkStart w:id="600" w:name="_Toc445907050"/>
      <w:bookmarkStart w:id="601" w:name="_Toc445907206"/>
      <w:bookmarkStart w:id="602" w:name="_Toc445907364"/>
      <w:bookmarkStart w:id="603" w:name="_Toc445907520"/>
      <w:bookmarkStart w:id="604" w:name="_Toc445907676"/>
      <w:bookmarkStart w:id="605" w:name="_Toc445907832"/>
      <w:bookmarkStart w:id="606" w:name="_Toc445907988"/>
      <w:bookmarkStart w:id="607" w:name="_Toc445822268"/>
      <w:bookmarkStart w:id="608" w:name="_Toc445822393"/>
      <w:bookmarkStart w:id="609" w:name="_Toc445822517"/>
      <w:bookmarkStart w:id="610" w:name="_Toc445822639"/>
      <w:bookmarkStart w:id="611" w:name="_Toc445822761"/>
      <w:bookmarkStart w:id="612" w:name="_Toc445822882"/>
      <w:bookmarkStart w:id="613" w:name="_Toc445823003"/>
      <w:bookmarkStart w:id="614" w:name="_Toc445823124"/>
      <w:bookmarkStart w:id="615" w:name="_Toc445823245"/>
      <w:bookmarkStart w:id="616" w:name="_Toc445823366"/>
      <w:bookmarkStart w:id="617" w:name="_Toc445823487"/>
      <w:bookmarkStart w:id="618" w:name="_Toc445823608"/>
      <w:bookmarkStart w:id="619" w:name="_Toc445823729"/>
      <w:bookmarkStart w:id="620" w:name="_Toc445823850"/>
      <w:bookmarkStart w:id="621" w:name="_Toc445823972"/>
      <w:bookmarkStart w:id="622" w:name="_Toc445824094"/>
      <w:bookmarkStart w:id="623" w:name="_Toc445906737"/>
      <w:bookmarkStart w:id="624" w:name="_Toc445906895"/>
      <w:bookmarkStart w:id="625" w:name="_Toc445907051"/>
      <w:bookmarkStart w:id="626" w:name="_Toc445907207"/>
      <w:bookmarkStart w:id="627" w:name="_Toc445907365"/>
      <w:bookmarkStart w:id="628" w:name="_Toc445907521"/>
      <w:bookmarkStart w:id="629" w:name="_Toc445907677"/>
      <w:bookmarkStart w:id="630" w:name="_Toc445907833"/>
      <w:bookmarkStart w:id="631" w:name="_Toc445907989"/>
      <w:bookmarkStart w:id="632" w:name="_Toc445822269"/>
      <w:bookmarkStart w:id="633" w:name="_Toc445822394"/>
      <w:bookmarkStart w:id="634" w:name="_Toc445822518"/>
      <w:bookmarkStart w:id="635" w:name="_Toc445822640"/>
      <w:bookmarkStart w:id="636" w:name="_Toc445822762"/>
      <w:bookmarkStart w:id="637" w:name="_Toc445822883"/>
      <w:bookmarkStart w:id="638" w:name="_Toc445823004"/>
      <w:bookmarkStart w:id="639" w:name="_Toc445823125"/>
      <w:bookmarkStart w:id="640" w:name="_Toc445823246"/>
      <w:bookmarkStart w:id="641" w:name="_Toc445823367"/>
      <w:bookmarkStart w:id="642" w:name="_Toc445823488"/>
      <w:bookmarkStart w:id="643" w:name="_Toc445823609"/>
      <w:bookmarkStart w:id="644" w:name="_Toc445823730"/>
      <w:bookmarkStart w:id="645" w:name="_Toc445823851"/>
      <w:bookmarkStart w:id="646" w:name="_Toc445823973"/>
      <w:bookmarkStart w:id="647" w:name="_Toc445824095"/>
      <w:bookmarkStart w:id="648" w:name="_Toc445906738"/>
      <w:bookmarkStart w:id="649" w:name="_Toc445906896"/>
      <w:bookmarkStart w:id="650" w:name="_Toc445907052"/>
      <w:bookmarkStart w:id="651" w:name="_Toc445907208"/>
      <w:bookmarkStart w:id="652" w:name="_Toc445907366"/>
      <w:bookmarkStart w:id="653" w:name="_Toc445907522"/>
      <w:bookmarkStart w:id="654" w:name="_Toc445907678"/>
      <w:bookmarkStart w:id="655" w:name="_Toc445907834"/>
      <w:bookmarkStart w:id="656" w:name="_Toc445907990"/>
      <w:bookmarkStart w:id="657" w:name="_Toc445822270"/>
      <w:bookmarkStart w:id="658" w:name="_Toc445822395"/>
      <w:bookmarkStart w:id="659" w:name="_Toc445822519"/>
      <w:bookmarkStart w:id="660" w:name="_Toc445822641"/>
      <w:bookmarkStart w:id="661" w:name="_Toc445822763"/>
      <w:bookmarkStart w:id="662" w:name="_Toc445822884"/>
      <w:bookmarkStart w:id="663" w:name="_Toc445823005"/>
      <w:bookmarkStart w:id="664" w:name="_Toc445823126"/>
      <w:bookmarkStart w:id="665" w:name="_Toc445823247"/>
      <w:bookmarkStart w:id="666" w:name="_Toc445823368"/>
      <w:bookmarkStart w:id="667" w:name="_Toc445823489"/>
      <w:bookmarkStart w:id="668" w:name="_Toc445823610"/>
      <w:bookmarkStart w:id="669" w:name="_Toc445823731"/>
      <w:bookmarkStart w:id="670" w:name="_Toc445823852"/>
      <w:bookmarkStart w:id="671" w:name="_Toc445823974"/>
      <w:bookmarkStart w:id="672" w:name="_Toc445824096"/>
      <w:bookmarkStart w:id="673" w:name="_Toc445906739"/>
      <w:bookmarkStart w:id="674" w:name="_Toc445906897"/>
      <w:bookmarkStart w:id="675" w:name="_Toc445907053"/>
      <w:bookmarkStart w:id="676" w:name="_Toc445907209"/>
      <w:bookmarkStart w:id="677" w:name="_Toc445907367"/>
      <w:bookmarkStart w:id="678" w:name="_Toc445907523"/>
      <w:bookmarkStart w:id="679" w:name="_Toc445907679"/>
      <w:bookmarkStart w:id="680" w:name="_Toc445907835"/>
      <w:bookmarkStart w:id="681" w:name="_Toc445907991"/>
      <w:bookmarkStart w:id="682" w:name="_Toc445822271"/>
      <w:bookmarkStart w:id="683" w:name="_Toc445822396"/>
      <w:bookmarkStart w:id="684" w:name="_Toc445822520"/>
      <w:bookmarkStart w:id="685" w:name="_Toc445822642"/>
      <w:bookmarkStart w:id="686" w:name="_Toc445822764"/>
      <w:bookmarkStart w:id="687" w:name="_Toc445822885"/>
      <w:bookmarkStart w:id="688" w:name="_Toc445823006"/>
      <w:bookmarkStart w:id="689" w:name="_Toc445823127"/>
      <w:bookmarkStart w:id="690" w:name="_Toc445823248"/>
      <w:bookmarkStart w:id="691" w:name="_Toc445823369"/>
      <w:bookmarkStart w:id="692" w:name="_Toc445823490"/>
      <w:bookmarkStart w:id="693" w:name="_Toc445823611"/>
      <w:bookmarkStart w:id="694" w:name="_Toc445823732"/>
      <w:bookmarkStart w:id="695" w:name="_Toc445823853"/>
      <w:bookmarkStart w:id="696" w:name="_Toc445823975"/>
      <w:bookmarkStart w:id="697" w:name="_Toc445824097"/>
      <w:bookmarkStart w:id="698" w:name="_Toc445906740"/>
      <w:bookmarkStart w:id="699" w:name="_Toc445906898"/>
      <w:bookmarkStart w:id="700" w:name="_Toc445907054"/>
      <w:bookmarkStart w:id="701" w:name="_Toc445907210"/>
      <w:bookmarkStart w:id="702" w:name="_Toc445907368"/>
      <w:bookmarkStart w:id="703" w:name="_Toc445907524"/>
      <w:bookmarkStart w:id="704" w:name="_Toc445907680"/>
      <w:bookmarkStart w:id="705" w:name="_Toc445907836"/>
      <w:bookmarkStart w:id="706" w:name="_Toc445907992"/>
      <w:bookmarkStart w:id="707" w:name="_Toc445822272"/>
      <w:bookmarkStart w:id="708" w:name="_Toc445822397"/>
      <w:bookmarkStart w:id="709" w:name="_Toc445822521"/>
      <w:bookmarkStart w:id="710" w:name="_Toc445822643"/>
      <w:bookmarkStart w:id="711" w:name="_Toc445822765"/>
      <w:bookmarkStart w:id="712" w:name="_Toc445822886"/>
      <w:bookmarkStart w:id="713" w:name="_Toc445823007"/>
      <w:bookmarkStart w:id="714" w:name="_Toc445823128"/>
      <w:bookmarkStart w:id="715" w:name="_Toc445823249"/>
      <w:bookmarkStart w:id="716" w:name="_Toc445823370"/>
      <w:bookmarkStart w:id="717" w:name="_Toc445823491"/>
      <w:bookmarkStart w:id="718" w:name="_Toc445823612"/>
      <w:bookmarkStart w:id="719" w:name="_Toc445823733"/>
      <w:bookmarkStart w:id="720" w:name="_Toc445823854"/>
      <w:bookmarkStart w:id="721" w:name="_Toc445823976"/>
      <w:bookmarkStart w:id="722" w:name="_Toc445824098"/>
      <w:bookmarkStart w:id="723" w:name="_Toc445906741"/>
      <w:bookmarkStart w:id="724" w:name="_Toc445906899"/>
      <w:bookmarkStart w:id="725" w:name="_Toc445907055"/>
      <w:bookmarkStart w:id="726" w:name="_Toc445907211"/>
      <w:bookmarkStart w:id="727" w:name="_Toc445907369"/>
      <w:bookmarkStart w:id="728" w:name="_Toc445907525"/>
      <w:bookmarkStart w:id="729" w:name="_Toc445907681"/>
      <w:bookmarkStart w:id="730" w:name="_Toc445907837"/>
      <w:bookmarkStart w:id="731" w:name="_Toc445907993"/>
      <w:bookmarkStart w:id="732" w:name="_Toc445822273"/>
      <w:bookmarkStart w:id="733" w:name="_Toc445822398"/>
      <w:bookmarkStart w:id="734" w:name="_Toc445822522"/>
      <w:bookmarkStart w:id="735" w:name="_Toc445822644"/>
      <w:bookmarkStart w:id="736" w:name="_Toc445822766"/>
      <w:bookmarkStart w:id="737" w:name="_Toc445822887"/>
      <w:bookmarkStart w:id="738" w:name="_Toc445823008"/>
      <w:bookmarkStart w:id="739" w:name="_Toc445823129"/>
      <w:bookmarkStart w:id="740" w:name="_Toc445823250"/>
      <w:bookmarkStart w:id="741" w:name="_Toc445823371"/>
      <w:bookmarkStart w:id="742" w:name="_Toc445823492"/>
      <w:bookmarkStart w:id="743" w:name="_Toc445823613"/>
      <w:bookmarkStart w:id="744" w:name="_Toc445823734"/>
      <w:bookmarkStart w:id="745" w:name="_Toc445823855"/>
      <w:bookmarkStart w:id="746" w:name="_Toc445823977"/>
      <w:bookmarkStart w:id="747" w:name="_Toc445824099"/>
      <w:bookmarkStart w:id="748" w:name="_Toc445906742"/>
      <w:bookmarkStart w:id="749" w:name="_Toc445906900"/>
      <w:bookmarkStart w:id="750" w:name="_Toc445907056"/>
      <w:bookmarkStart w:id="751" w:name="_Toc445907212"/>
      <w:bookmarkStart w:id="752" w:name="_Toc445907370"/>
      <w:bookmarkStart w:id="753" w:name="_Toc445907526"/>
      <w:bookmarkStart w:id="754" w:name="_Toc445907682"/>
      <w:bookmarkStart w:id="755" w:name="_Toc445907838"/>
      <w:bookmarkStart w:id="756" w:name="_Toc445907994"/>
      <w:bookmarkStart w:id="757" w:name="_Toc445822274"/>
      <w:bookmarkStart w:id="758" w:name="_Toc445822399"/>
      <w:bookmarkStart w:id="759" w:name="_Toc445822523"/>
      <w:bookmarkStart w:id="760" w:name="_Toc445822645"/>
      <w:bookmarkStart w:id="761" w:name="_Toc445822767"/>
      <w:bookmarkStart w:id="762" w:name="_Toc445822888"/>
      <w:bookmarkStart w:id="763" w:name="_Toc445823009"/>
      <w:bookmarkStart w:id="764" w:name="_Toc445823130"/>
      <w:bookmarkStart w:id="765" w:name="_Toc445823251"/>
      <w:bookmarkStart w:id="766" w:name="_Toc445823372"/>
      <w:bookmarkStart w:id="767" w:name="_Toc445823493"/>
      <w:bookmarkStart w:id="768" w:name="_Toc445823614"/>
      <w:bookmarkStart w:id="769" w:name="_Toc445823735"/>
      <w:bookmarkStart w:id="770" w:name="_Toc445823856"/>
      <w:bookmarkStart w:id="771" w:name="_Toc445823978"/>
      <w:bookmarkStart w:id="772" w:name="_Toc445824100"/>
      <w:bookmarkStart w:id="773" w:name="_Toc445906743"/>
      <w:bookmarkStart w:id="774" w:name="_Toc445906901"/>
      <w:bookmarkStart w:id="775" w:name="_Toc445907057"/>
      <w:bookmarkStart w:id="776" w:name="_Toc445907213"/>
      <w:bookmarkStart w:id="777" w:name="_Toc445907371"/>
      <w:bookmarkStart w:id="778" w:name="_Toc445907527"/>
      <w:bookmarkStart w:id="779" w:name="_Toc445907683"/>
      <w:bookmarkStart w:id="780" w:name="_Toc445907839"/>
      <w:bookmarkStart w:id="781" w:name="_Toc445907995"/>
      <w:bookmarkStart w:id="782" w:name="_Toc445822275"/>
      <w:bookmarkStart w:id="783" w:name="_Toc445822400"/>
      <w:bookmarkStart w:id="784" w:name="_Toc445822524"/>
      <w:bookmarkStart w:id="785" w:name="_Toc445822646"/>
      <w:bookmarkStart w:id="786" w:name="_Toc445822768"/>
      <w:bookmarkStart w:id="787" w:name="_Toc445822889"/>
      <w:bookmarkStart w:id="788" w:name="_Toc445823010"/>
      <w:bookmarkStart w:id="789" w:name="_Toc445823131"/>
      <w:bookmarkStart w:id="790" w:name="_Toc445823252"/>
      <w:bookmarkStart w:id="791" w:name="_Toc445823373"/>
      <w:bookmarkStart w:id="792" w:name="_Toc445823494"/>
      <w:bookmarkStart w:id="793" w:name="_Toc445823615"/>
      <w:bookmarkStart w:id="794" w:name="_Toc445823736"/>
      <w:bookmarkStart w:id="795" w:name="_Toc445823857"/>
      <w:bookmarkStart w:id="796" w:name="_Toc445823979"/>
      <w:bookmarkStart w:id="797" w:name="_Toc445824101"/>
      <w:bookmarkStart w:id="798" w:name="_Toc445906744"/>
      <w:bookmarkStart w:id="799" w:name="_Toc445906902"/>
      <w:bookmarkStart w:id="800" w:name="_Toc445907058"/>
      <w:bookmarkStart w:id="801" w:name="_Toc445907214"/>
      <w:bookmarkStart w:id="802" w:name="_Toc445907372"/>
      <w:bookmarkStart w:id="803" w:name="_Toc445907528"/>
      <w:bookmarkStart w:id="804" w:name="_Toc445907684"/>
      <w:bookmarkStart w:id="805" w:name="_Toc445907840"/>
      <w:bookmarkStart w:id="806" w:name="_Toc445907996"/>
      <w:bookmarkStart w:id="807" w:name="_Toc445462106"/>
      <w:bookmarkStart w:id="808" w:name="_Toc445462977"/>
      <w:bookmarkEnd w:id="382"/>
      <w:bookmarkEnd w:id="383"/>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r>
        <w:t xml:space="preserve">The service provider, the owner, or a representative on their behalf, must submit materials and information to the city to verify compliance with these requirements. </w:t>
      </w:r>
      <w:r w:rsidR="002D3C2E">
        <w:t>Upon completion of the energy assessment</w:t>
      </w:r>
      <w:r w:rsidR="008460D1">
        <w:t xml:space="preserve"> services and the retro</w:t>
      </w:r>
      <w:r w:rsidR="007D558F">
        <w:t>-</w:t>
      </w:r>
      <w:r w:rsidR="008460D1">
        <w:t>commissioning services</w:t>
      </w:r>
      <w:r w:rsidR="002D3C2E">
        <w:t xml:space="preserve">, the service provider must submit </w:t>
      </w:r>
      <w:r w:rsidR="00166DD6">
        <w:t>the</w:t>
      </w:r>
      <w:r>
        <w:t xml:space="preserve"> </w:t>
      </w:r>
      <w:r w:rsidR="002D3C2E">
        <w:t>report to the building owner</w:t>
      </w:r>
      <w:r>
        <w:t>, drafted</w:t>
      </w:r>
      <w:r w:rsidR="002D3C2E">
        <w:t xml:space="preserve"> in accordance </w:t>
      </w:r>
      <w:r w:rsidR="00A04680">
        <w:t>with</w:t>
      </w:r>
      <w:r w:rsidR="002D3C2E">
        <w:t xml:space="preserve"> the report scope</w:t>
      </w:r>
      <w:r>
        <w:t>s</w:t>
      </w:r>
      <w:r w:rsidR="002D3C2E">
        <w:t xml:space="preserve"> outlined in the city manager rules and above </w:t>
      </w:r>
      <w:r w:rsidR="00A04680">
        <w:t>in</w:t>
      </w:r>
      <w:r w:rsidR="002D3C2E">
        <w:t xml:space="preserve"> section</w:t>
      </w:r>
      <w:r w:rsidR="00CD7C88">
        <w:t>:</w:t>
      </w:r>
      <w:r w:rsidR="002D3C2E">
        <w:t xml:space="preserve"> </w:t>
      </w:r>
      <w:r w:rsidR="002D3C2E" w:rsidRPr="00C12F16">
        <w:rPr>
          <w:b/>
          <w:color w:val="FF9900" w:themeColor="text1"/>
        </w:rPr>
        <w:fldChar w:fldCharType="begin"/>
      </w:r>
      <w:r w:rsidR="002D3C2E" w:rsidRPr="00C12F16">
        <w:rPr>
          <w:b/>
          <w:color w:val="FF9900" w:themeColor="text1"/>
        </w:rPr>
        <w:instrText xml:space="preserve"> REF _Ref485887170 \h  \* MERGEFORMAT </w:instrText>
      </w:r>
      <w:r w:rsidR="002D3C2E" w:rsidRPr="00C12F16">
        <w:rPr>
          <w:b/>
          <w:color w:val="FF9900" w:themeColor="text1"/>
        </w:rPr>
      </w:r>
      <w:r w:rsidR="002D3C2E" w:rsidRPr="00C12F16">
        <w:rPr>
          <w:b/>
          <w:color w:val="FF9900" w:themeColor="text1"/>
        </w:rPr>
        <w:fldChar w:fldCharType="separate"/>
      </w:r>
    </w:p>
    <w:p w14:paraId="3EE8BD07" w14:textId="77777777" w:rsidR="00324ADD" w:rsidRPr="00324ADD" w:rsidRDefault="00324ADD" w:rsidP="00592052">
      <w:pPr>
        <w:rPr>
          <w:b/>
          <w:bCs/>
          <w:iCs/>
          <w:color w:val="FF9900" w:themeColor="text1"/>
        </w:rPr>
      </w:pPr>
      <w:r>
        <w:t xml:space="preserve">Energy Assessment </w:t>
      </w:r>
      <w:r w:rsidRPr="00E050C0">
        <w:t>Report</w:t>
      </w:r>
      <w:r w:rsidR="002D3C2E" w:rsidRPr="00C12F16">
        <w:rPr>
          <w:b/>
          <w:color w:val="FF9900" w:themeColor="text1"/>
        </w:rPr>
        <w:fldChar w:fldCharType="end"/>
      </w:r>
      <w:r w:rsidR="00C12F16">
        <w:t xml:space="preserve"> </w:t>
      </w:r>
      <w:r w:rsidR="00CD7C88">
        <w:t>.</w:t>
      </w:r>
      <w:r w:rsidR="008460D1" w:rsidRPr="00C12F16">
        <w:rPr>
          <w:b/>
          <w:i/>
          <w:color w:val="FF9900" w:themeColor="text1"/>
        </w:rPr>
        <w:fldChar w:fldCharType="begin"/>
      </w:r>
      <w:r w:rsidR="008460D1" w:rsidRPr="00C12F16">
        <w:rPr>
          <w:b/>
          <w:i/>
          <w:color w:val="FF9900" w:themeColor="text1"/>
        </w:rPr>
        <w:instrText xml:space="preserve"> REF _Ref485890859 \h  \* MERGEFORMAT </w:instrText>
      </w:r>
      <w:r w:rsidR="008460D1" w:rsidRPr="00C12F16">
        <w:rPr>
          <w:b/>
          <w:i/>
          <w:color w:val="FF9900" w:themeColor="text1"/>
        </w:rPr>
      </w:r>
      <w:r w:rsidR="008460D1" w:rsidRPr="00C12F16">
        <w:rPr>
          <w:b/>
          <w:i/>
          <w:color w:val="FF9900" w:themeColor="text1"/>
        </w:rPr>
        <w:fldChar w:fldCharType="separate"/>
      </w:r>
    </w:p>
    <w:p w14:paraId="65840858" w14:textId="3946E326" w:rsidR="00166DD6" w:rsidRDefault="00324ADD" w:rsidP="002D3C2E">
      <w:proofErr w:type="spellStart"/>
      <w:r w:rsidRPr="00324ADD">
        <w:rPr>
          <w:b/>
          <w:bCs/>
          <w:i/>
          <w:iCs/>
          <w:color w:val="003232" w:themeColor="accent1" w:themeShade="7F"/>
        </w:rPr>
        <w:t>Retrocommissioning</w:t>
      </w:r>
      <w:proofErr w:type="spellEnd"/>
      <w:r>
        <w:t xml:space="preserve"> </w:t>
      </w:r>
      <w:r w:rsidRPr="002116FC">
        <w:t>Report</w:t>
      </w:r>
      <w:r w:rsidR="008460D1" w:rsidRPr="00C12F16">
        <w:rPr>
          <w:b/>
          <w:i/>
          <w:color w:val="FF9900" w:themeColor="text1"/>
        </w:rPr>
        <w:fldChar w:fldCharType="end"/>
      </w:r>
      <w:r w:rsidR="002D3C2E">
        <w:t xml:space="preserve">. </w:t>
      </w:r>
    </w:p>
    <w:p w14:paraId="15410777" w14:textId="3B6A43DE" w:rsidR="008460D1" w:rsidRPr="008460D1" w:rsidRDefault="008460D1" w:rsidP="00176D46">
      <w:r>
        <w:t xml:space="preserve">A copy of each </w:t>
      </w:r>
      <w:r w:rsidR="00A04680">
        <w:t>report</w:t>
      </w:r>
      <w:r w:rsidR="008869F6">
        <w:rPr>
          <w:rStyle w:val="FootnoteReference"/>
        </w:rPr>
        <w:footnoteReference w:id="10"/>
      </w:r>
      <w:r w:rsidR="00A04680">
        <w:t xml:space="preserve"> must </w:t>
      </w:r>
      <w:r w:rsidR="00166DD6">
        <w:t xml:space="preserve">be </w:t>
      </w:r>
      <w:r w:rsidR="003F1402">
        <w:t xml:space="preserve">submitted to the city no later than end of </w:t>
      </w:r>
      <w:r w:rsidR="008869F6">
        <w:t xml:space="preserve">business on the day of each </w:t>
      </w:r>
      <w:r w:rsidR="003F1402">
        <w:t xml:space="preserve">requirement </w:t>
      </w:r>
      <w:hyperlink w:anchor="_1.2_Compliance_Deadlines" w:history="1">
        <w:r w:rsidR="003F1402" w:rsidRPr="00CB1FA9">
          <w:rPr>
            <w:rStyle w:val="Hyperlink"/>
            <w:b/>
            <w:color w:val="auto"/>
            <w:u w:val="none"/>
          </w:rPr>
          <w:t>deadline</w:t>
        </w:r>
      </w:hyperlink>
      <w:r w:rsidR="003F1402">
        <w:t>. The report</w:t>
      </w:r>
      <w:r>
        <w:t>s</w:t>
      </w:r>
      <w:r w:rsidR="003F1402">
        <w:t xml:space="preserve"> can be submitted to the Program </w:t>
      </w:r>
      <w:r>
        <w:t xml:space="preserve">Administrator via </w:t>
      </w:r>
      <w:r w:rsidR="00176D46">
        <w:t xml:space="preserve">the directions on the </w:t>
      </w:r>
      <w:hyperlink r:id="rId49" w:anchor="section-1822" w:history="1">
        <w:r w:rsidR="00176D46" w:rsidRPr="00CD7C88">
          <w:rPr>
            <w:rStyle w:val="Hyperlink"/>
          </w:rPr>
          <w:t>website</w:t>
        </w:r>
      </w:hyperlink>
      <w:r w:rsidR="00176D46" w:rsidRPr="00176D46">
        <w:rPr>
          <w:rStyle w:val="Hyperlink"/>
          <w:b/>
          <w:color w:val="FF9900" w:themeColor="text1"/>
          <w:u w:val="none"/>
        </w:rPr>
        <w:t xml:space="preserve"> </w:t>
      </w:r>
      <w:r w:rsidR="00176D46">
        <w:t xml:space="preserve">under </w:t>
      </w:r>
      <w:r w:rsidR="00184212">
        <w:t>Complete Energy Assessment and Complete Retro-commissioning</w:t>
      </w:r>
      <w:r w:rsidR="00176D46">
        <w:t xml:space="preserve">. </w:t>
      </w:r>
    </w:p>
    <w:p w14:paraId="7AC81E7E" w14:textId="77777777" w:rsidR="00E64E86" w:rsidRDefault="00E64E86">
      <w:pPr>
        <w:rPr>
          <w:rFonts w:asciiTheme="majorHAnsi" w:eastAsiaTheme="majorEastAsia" w:hAnsiTheme="majorHAnsi" w:cstheme="majorBidi"/>
          <w:b/>
          <w:color w:val="004C4C" w:themeColor="accent1" w:themeShade="BF"/>
          <w:sz w:val="28"/>
          <w:szCs w:val="32"/>
        </w:rPr>
      </w:pPr>
      <w:r>
        <w:rPr>
          <w:b/>
          <w:sz w:val="28"/>
        </w:rPr>
        <w:br w:type="page"/>
      </w:r>
    </w:p>
    <w:p w14:paraId="6A46C5CD" w14:textId="3B0F38FA" w:rsidR="00C66D22" w:rsidRPr="002116FC" w:rsidRDefault="0003491F" w:rsidP="00592052">
      <w:pPr>
        <w:pStyle w:val="Heading1"/>
        <w:numPr>
          <w:ilvl w:val="0"/>
          <w:numId w:val="50"/>
        </w:numPr>
        <w:rPr>
          <w:b/>
        </w:rPr>
      </w:pPr>
      <w:bookmarkStart w:id="809" w:name="_Toc530563763"/>
      <w:r w:rsidRPr="002116FC">
        <w:rPr>
          <w:b/>
        </w:rPr>
        <w:lastRenderedPageBreak/>
        <w:t>Lighting Upgrades</w:t>
      </w:r>
      <w:bookmarkEnd w:id="809"/>
      <w:r w:rsidRPr="002116FC">
        <w:rPr>
          <w:b/>
        </w:rPr>
        <w:t xml:space="preserve"> </w:t>
      </w:r>
    </w:p>
    <w:p w14:paraId="381F3765" w14:textId="3E6044A4" w:rsidR="006578D0" w:rsidRDefault="006578D0" w:rsidP="006578D0">
      <w:r w:rsidRPr="00086AA4">
        <w:t>This section provides information on the requirements, deadlines, and impleme</w:t>
      </w:r>
      <w:r w:rsidR="00C93250" w:rsidRPr="00086AA4">
        <w:t>ntation of the lighting upgrade</w:t>
      </w:r>
      <w:r w:rsidR="008D0437" w:rsidRPr="00086AA4">
        <w:t>s</w:t>
      </w:r>
      <w:r w:rsidR="00C93250" w:rsidRPr="00086AA4">
        <w:t xml:space="preserve"> </w:t>
      </w:r>
      <w:r w:rsidR="008D0437" w:rsidRPr="00086AA4">
        <w:t>required by the</w:t>
      </w:r>
      <w:r w:rsidRPr="00086AA4">
        <w:t xml:space="preserve"> ordinance. The checklist</w:t>
      </w:r>
      <w:r w:rsidR="00086AA4" w:rsidRPr="00086AA4">
        <w:t xml:space="preserve"> on the website</w:t>
      </w:r>
      <w:r w:rsidRPr="00086AA4">
        <w:t xml:space="preserve"> </w:t>
      </w:r>
      <w:r w:rsidR="008D0437" w:rsidRPr="00086AA4">
        <w:t>should be used by</w:t>
      </w:r>
      <w:r w:rsidRPr="00086AA4">
        <w:t xml:space="preserve"> affected building </w:t>
      </w:r>
      <w:r w:rsidR="008D0437" w:rsidRPr="00086AA4">
        <w:t xml:space="preserve">owners to </w:t>
      </w:r>
      <w:r w:rsidRPr="00086AA4">
        <w:t xml:space="preserve">ensure compliance with </w:t>
      </w:r>
      <w:r w:rsidR="00C93250" w:rsidRPr="00086AA4">
        <w:t>this</w:t>
      </w:r>
      <w:r w:rsidRPr="00086AA4">
        <w:t xml:space="preserve"> requirement</w:t>
      </w:r>
      <w:r w:rsidR="00086AA4">
        <w:t xml:space="preserve"> and is available </w:t>
      </w:r>
      <w:hyperlink r:id="rId50" w:history="1">
        <w:r w:rsidR="00086AA4" w:rsidRPr="00D0173B">
          <w:rPr>
            <w:rStyle w:val="Hyperlink"/>
          </w:rPr>
          <w:t>here</w:t>
        </w:r>
        <w:r w:rsidR="00D0173B" w:rsidRPr="00D0173B">
          <w:rPr>
            <w:rStyle w:val="Hyperlink"/>
          </w:rPr>
          <w:t>.</w:t>
        </w:r>
      </w:hyperlink>
    </w:p>
    <w:p w14:paraId="209CE314" w14:textId="16B40A90" w:rsidR="00C66D22" w:rsidRDefault="00592052" w:rsidP="005E4DDE">
      <w:pPr>
        <w:pStyle w:val="Heading2"/>
      </w:pPr>
      <w:bookmarkStart w:id="810" w:name="_Ref447197118"/>
      <w:bookmarkStart w:id="811" w:name="_Toc530563764"/>
      <w:bookmarkEnd w:id="807"/>
      <w:bookmarkEnd w:id="808"/>
      <w:r>
        <w:t>3.1</w:t>
      </w:r>
      <w:r>
        <w:tab/>
      </w:r>
      <w:r w:rsidR="00A03006" w:rsidRPr="000D7D3F">
        <w:t xml:space="preserve">Summary of </w:t>
      </w:r>
      <w:r w:rsidR="00A03006" w:rsidRPr="005E4DDE">
        <w:t>Requirements</w:t>
      </w:r>
      <w:bookmarkEnd w:id="810"/>
      <w:bookmarkEnd w:id="811"/>
    </w:p>
    <w:p w14:paraId="3DC03162" w14:textId="7BB83462" w:rsidR="003C25B6" w:rsidRDefault="008F5044" w:rsidP="00A83534">
      <w:r>
        <w:t xml:space="preserve">The </w:t>
      </w:r>
      <w:r w:rsidR="00AC355F">
        <w:t>City</w:t>
      </w:r>
      <w:r>
        <w:t xml:space="preserve"> of </w:t>
      </w:r>
      <w:r w:rsidR="006A2D13">
        <w:t>Boulder’s Building</w:t>
      </w:r>
      <w:r w:rsidR="00A03006">
        <w:t xml:space="preserve"> Performance O</w:t>
      </w:r>
      <w:r>
        <w:t xml:space="preserve">rdinance requires that </w:t>
      </w:r>
      <w:r w:rsidR="00A03006">
        <w:t xml:space="preserve">building owners </w:t>
      </w:r>
      <w:r w:rsidR="00A03006" w:rsidRPr="003C25B6">
        <w:t xml:space="preserve">implement one-time lighting </w:t>
      </w:r>
      <w:r w:rsidRPr="003C25B6">
        <w:t>upgrade</w:t>
      </w:r>
      <w:r w:rsidR="00A03006" w:rsidRPr="003C25B6">
        <w:t xml:space="preserve">s </w:t>
      </w:r>
      <w:r w:rsidRPr="003C25B6">
        <w:t xml:space="preserve">within five years of the building’s </w:t>
      </w:r>
      <w:r w:rsidR="008D0437">
        <w:t>first</w:t>
      </w:r>
      <w:r w:rsidR="008D0437" w:rsidRPr="003C25B6">
        <w:t xml:space="preserve"> </w:t>
      </w:r>
      <w:r w:rsidR="00EF703A">
        <w:t>R&amp;R</w:t>
      </w:r>
      <w:r w:rsidR="008D0437">
        <w:t xml:space="preserve"> deadline</w:t>
      </w:r>
      <w:r w:rsidRPr="003C25B6">
        <w:t xml:space="preserve">. </w:t>
      </w:r>
      <w:r w:rsidR="0003491F" w:rsidRPr="0003491F">
        <w:t xml:space="preserve">The lighting upgrade must be </w:t>
      </w:r>
      <w:r w:rsidR="008D0437">
        <w:t>compliant with</w:t>
      </w:r>
      <w:r w:rsidR="003C78AA">
        <w:t xml:space="preserve"> </w:t>
      </w:r>
      <w:r w:rsidR="00740EA0">
        <w:t>the following code</w:t>
      </w:r>
      <w:r w:rsidR="001177FA">
        <w:t>s</w:t>
      </w:r>
      <w:r w:rsidR="00740EA0">
        <w:t xml:space="preserve"> </w:t>
      </w:r>
      <w:r w:rsidR="001177FA">
        <w:t>and sections</w:t>
      </w:r>
      <w:r w:rsidR="00740EA0">
        <w:t>:</w:t>
      </w:r>
      <w:r>
        <w:t xml:space="preserve"> </w:t>
      </w:r>
      <w:r w:rsidR="003C25B6">
        <w:t xml:space="preserve"> </w:t>
      </w:r>
    </w:p>
    <w:p w14:paraId="62C06DA4" w14:textId="6CDB7B34" w:rsidR="001177FA" w:rsidRDefault="001177FA" w:rsidP="001177FA">
      <w:pPr>
        <w:pStyle w:val="ListParagraph"/>
        <w:numPr>
          <w:ilvl w:val="0"/>
          <w:numId w:val="27"/>
        </w:numPr>
      </w:pPr>
      <w:r>
        <w:t>Replace or upgrade an exterior lighting fixtures as necessary to meet lighting power allowances for exterior lighting established in the 2012 International Energy Conservation Code (IECC);</w:t>
      </w:r>
      <w:r w:rsidRPr="001177FA">
        <w:rPr>
          <w:rStyle w:val="FootnoteReference"/>
        </w:rPr>
        <w:t xml:space="preserve"> </w:t>
      </w:r>
      <w:r>
        <w:rPr>
          <w:rStyle w:val="FootnoteReference"/>
        </w:rPr>
        <w:footnoteReference w:id="11"/>
      </w:r>
    </w:p>
    <w:p w14:paraId="49F225D3" w14:textId="6A178DB9" w:rsidR="001177FA" w:rsidRDefault="001177FA" w:rsidP="001177FA">
      <w:pPr>
        <w:pStyle w:val="ListParagraph"/>
        <w:numPr>
          <w:ilvl w:val="0"/>
          <w:numId w:val="27"/>
        </w:numPr>
      </w:pPr>
      <w:r>
        <w:t>Replace or upgrade any interior lighting fixtures as necessary to meet lighting power allowances for interior lighting established in the 2017 City of Boulder Energy Conservation Code (COBECC);</w:t>
      </w:r>
    </w:p>
    <w:p w14:paraId="0B3B2A9C" w14:textId="77777777" w:rsidR="001177FA" w:rsidRDefault="001177FA" w:rsidP="001177FA">
      <w:pPr>
        <w:pStyle w:val="ListParagraph"/>
        <w:numPr>
          <w:ilvl w:val="0"/>
          <w:numId w:val="27"/>
        </w:numPr>
      </w:pPr>
      <w:r>
        <w:t>Comply with requirements for automatic time switch control devices, occupancy sensors, and exterior lighting controls as necessary to meet the 2017 City of Boulder Energy Conservation Code.</w:t>
      </w:r>
    </w:p>
    <w:p w14:paraId="65D7A49A" w14:textId="0B87EDE3" w:rsidR="00E85496" w:rsidRDefault="001177FA" w:rsidP="00E85496">
      <w:pPr>
        <w:rPr>
          <w:color w:val="000000"/>
        </w:rPr>
      </w:pPr>
      <w:r>
        <w:t>Energy codes are typically updated</w:t>
      </w:r>
      <w:r w:rsidR="003C78AA">
        <w:t xml:space="preserve"> in three-year cycles, and typically </w:t>
      </w:r>
      <w:r w:rsidR="008D0437">
        <w:t>become more stringent</w:t>
      </w:r>
      <w:r w:rsidR="003C78AA">
        <w:t xml:space="preserve"> over time. </w:t>
      </w:r>
      <w:r w:rsidR="007262FF">
        <w:t xml:space="preserve">Therefore, it may be </w:t>
      </w:r>
      <w:r w:rsidR="003C78AA">
        <w:t xml:space="preserve">in </w:t>
      </w:r>
      <w:r w:rsidR="008D0437">
        <w:t xml:space="preserve">owner’s </w:t>
      </w:r>
      <w:r w:rsidR="003C78AA">
        <w:t>best interest from a cost perspective to perform the lighting upgrades sooner than later.</w:t>
      </w:r>
      <w:r w:rsidR="00E85496">
        <w:t xml:space="preserve"> </w:t>
      </w:r>
    </w:p>
    <w:tbl>
      <w:tblPr>
        <w:tblStyle w:val="TableGrid"/>
        <w:tblW w:w="0" w:type="auto"/>
        <w:tblInd w:w="108" w:type="dxa"/>
        <w:tblLook w:val="04A0" w:firstRow="1" w:lastRow="0" w:firstColumn="1" w:lastColumn="0" w:noHBand="0" w:noVBand="1"/>
      </w:tblPr>
      <w:tblGrid>
        <w:gridCol w:w="9242"/>
      </w:tblGrid>
      <w:tr w:rsidR="006764CB" w14:paraId="736CC28D" w14:textId="77777777" w:rsidTr="006764CB">
        <w:tc>
          <w:tcPr>
            <w:tcW w:w="9468" w:type="dxa"/>
            <w:shd w:val="clear" w:color="auto" w:fill="F2F2F2" w:themeFill="background1" w:themeFillShade="F2"/>
          </w:tcPr>
          <w:p w14:paraId="1CD28A1B" w14:textId="4EECE251" w:rsidR="008D0437" w:rsidRPr="008D0437" w:rsidRDefault="00FD7ABD" w:rsidP="006764CB">
            <w:pPr>
              <w:spacing w:after="160" w:line="259" w:lineRule="auto"/>
              <w:rPr>
                <w:b/>
                <w:i/>
              </w:rPr>
            </w:pPr>
            <w:r w:rsidRPr="00FD7ABD">
              <w:rPr>
                <w:b/>
                <w:i/>
              </w:rPr>
              <w:t>What do the “Lighting Power Allowances” really mean?</w:t>
            </w:r>
          </w:p>
          <w:p w14:paraId="5408DF56" w14:textId="21962861" w:rsidR="006764CB" w:rsidRPr="006764CB" w:rsidRDefault="008D0437" w:rsidP="008D0437">
            <w:pPr>
              <w:rPr>
                <w:i/>
              </w:rPr>
            </w:pPr>
            <w:r>
              <w:rPr>
                <w:i/>
              </w:rPr>
              <w:t>The</w:t>
            </w:r>
            <w:r w:rsidR="006764CB" w:rsidRPr="006764CB">
              <w:rPr>
                <w:i/>
              </w:rPr>
              <w:t xml:space="preserve"> lighting code calculations </w:t>
            </w:r>
            <w:r>
              <w:rPr>
                <w:i/>
              </w:rPr>
              <w:t xml:space="preserve">for lighting power allowance </w:t>
            </w:r>
            <w:r w:rsidR="006764CB" w:rsidRPr="006764CB">
              <w:rPr>
                <w:i/>
              </w:rPr>
              <w:t xml:space="preserve">are </w:t>
            </w:r>
            <w:r>
              <w:rPr>
                <w:i/>
              </w:rPr>
              <w:t>capping</w:t>
            </w:r>
            <w:r w:rsidR="006764CB" w:rsidRPr="006764CB">
              <w:rPr>
                <w:i/>
              </w:rPr>
              <w:t xml:space="preserve"> the amount of </w:t>
            </w:r>
            <w:r>
              <w:rPr>
                <w:i/>
              </w:rPr>
              <w:t>power</w:t>
            </w:r>
            <w:r w:rsidR="006764CB" w:rsidRPr="006764CB">
              <w:rPr>
                <w:i/>
              </w:rPr>
              <w:t xml:space="preserve"> that goes to lighting the interior and exterior of the building </w:t>
            </w:r>
            <w:r>
              <w:rPr>
                <w:i/>
              </w:rPr>
              <w:t>- this</w:t>
            </w:r>
            <w:r w:rsidR="006764CB" w:rsidRPr="006764CB">
              <w:rPr>
                <w:i/>
              </w:rPr>
              <w:t xml:space="preserve"> maximum</w:t>
            </w:r>
            <w:r>
              <w:rPr>
                <w:i/>
              </w:rPr>
              <w:t xml:space="preserve"> allowable power is</w:t>
            </w:r>
            <w:r w:rsidR="006764CB" w:rsidRPr="006764CB">
              <w:rPr>
                <w:i/>
              </w:rPr>
              <w:t xml:space="preserve"> measured in watts per square foot</w:t>
            </w:r>
            <w:r>
              <w:rPr>
                <w:i/>
              </w:rPr>
              <w:t xml:space="preserve"> (W/sf)</w:t>
            </w:r>
            <w:r w:rsidR="006764CB" w:rsidRPr="006764CB">
              <w:rPr>
                <w:i/>
              </w:rPr>
              <w:t xml:space="preserve">. This unit of measure is known as the building’s lighting power density (LPD). </w:t>
            </w:r>
            <w:r w:rsidR="000824E4" w:rsidRPr="006764CB">
              <w:rPr>
                <w:i/>
              </w:rPr>
              <w:t>Typically,</w:t>
            </w:r>
            <w:r w:rsidR="006764CB" w:rsidRPr="006764CB">
              <w:rPr>
                <w:i/>
              </w:rPr>
              <w:t xml:space="preserve"> the </w:t>
            </w:r>
            <w:r>
              <w:rPr>
                <w:i/>
              </w:rPr>
              <w:t xml:space="preserve">allowed </w:t>
            </w:r>
            <w:r w:rsidR="006764CB" w:rsidRPr="006764CB">
              <w:rPr>
                <w:i/>
              </w:rPr>
              <w:t xml:space="preserve">LPD </w:t>
            </w:r>
            <w:r w:rsidR="000824E4">
              <w:rPr>
                <w:i/>
              </w:rPr>
              <w:t xml:space="preserve">is lowered </w:t>
            </w:r>
            <w:r w:rsidR="006764CB" w:rsidRPr="006764CB">
              <w:rPr>
                <w:i/>
              </w:rPr>
              <w:t xml:space="preserve">with each code cycle to match the improving energy efficiency of commercially available lighting and controls. </w:t>
            </w:r>
          </w:p>
        </w:tc>
      </w:tr>
    </w:tbl>
    <w:p w14:paraId="4AA03EDA" w14:textId="77777777" w:rsidR="00086AA4" w:rsidRDefault="00086AA4" w:rsidP="005550AA">
      <w:pPr>
        <w:rPr>
          <w:color w:val="000000"/>
        </w:rPr>
      </w:pPr>
    </w:p>
    <w:p w14:paraId="2FC584D5" w14:textId="0829E76F" w:rsidR="005550AA" w:rsidRPr="005550AA" w:rsidRDefault="007262FF" w:rsidP="005550AA">
      <w:pPr>
        <w:rPr>
          <w:color w:val="000000"/>
        </w:rPr>
      </w:pPr>
      <w:r>
        <w:rPr>
          <w:color w:val="000000"/>
        </w:rPr>
        <w:t>The</w:t>
      </w:r>
      <w:r w:rsidR="00EF703A">
        <w:rPr>
          <w:color w:val="000000"/>
        </w:rPr>
        <w:t xml:space="preserve"> specific</w:t>
      </w:r>
      <w:r>
        <w:rPr>
          <w:color w:val="000000"/>
        </w:rPr>
        <w:t xml:space="preserve"> </w:t>
      </w:r>
      <w:r w:rsidR="00A70ED5">
        <w:rPr>
          <w:color w:val="000000"/>
        </w:rPr>
        <w:t>code sections</w:t>
      </w:r>
      <w:r>
        <w:rPr>
          <w:color w:val="000000"/>
        </w:rPr>
        <w:t xml:space="preserve"> </w:t>
      </w:r>
      <w:r w:rsidR="001177FA">
        <w:rPr>
          <w:color w:val="000000"/>
        </w:rPr>
        <w:t>for compliance</w:t>
      </w:r>
      <w:r w:rsidR="005550AA">
        <w:rPr>
          <w:color w:val="000000"/>
        </w:rPr>
        <w:t xml:space="preserve"> </w:t>
      </w:r>
      <w:r w:rsidR="00A70ED5">
        <w:rPr>
          <w:color w:val="000000"/>
        </w:rPr>
        <w:t>are</w:t>
      </w:r>
      <w:r>
        <w:rPr>
          <w:color w:val="000000"/>
        </w:rPr>
        <w:t xml:space="preserve"> listed </w:t>
      </w:r>
      <w:r w:rsidR="005550AA">
        <w:rPr>
          <w:color w:val="000000"/>
        </w:rPr>
        <w:t xml:space="preserve">in the table </w:t>
      </w:r>
      <w:r>
        <w:rPr>
          <w:color w:val="000000"/>
        </w:rPr>
        <w:t>below</w:t>
      </w:r>
      <w:r w:rsidR="005550AA">
        <w:rPr>
          <w:color w:val="000000"/>
        </w:rPr>
        <w:t>.</w:t>
      </w:r>
    </w:p>
    <w:tbl>
      <w:tblPr>
        <w:tblStyle w:val="LightList-Accent11"/>
        <w:tblW w:w="0" w:type="auto"/>
        <w:tblLook w:val="04A0" w:firstRow="1" w:lastRow="0" w:firstColumn="1" w:lastColumn="0" w:noHBand="0" w:noVBand="1"/>
      </w:tblPr>
      <w:tblGrid>
        <w:gridCol w:w="3690"/>
        <w:gridCol w:w="2792"/>
        <w:gridCol w:w="2792"/>
      </w:tblGrid>
      <w:tr w:rsidR="001177FA" w14:paraId="51DA2490" w14:textId="77777777" w:rsidTr="00086AA4">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690" w:type="dxa"/>
          </w:tcPr>
          <w:p w14:paraId="47859A92" w14:textId="77777777" w:rsidR="001177FA" w:rsidRPr="005550AA" w:rsidRDefault="001177FA" w:rsidP="008C2C9D">
            <w:pPr>
              <w:keepNext/>
              <w:keepLines/>
            </w:pPr>
            <w:r>
              <w:rPr>
                <w:color w:val="000000"/>
              </w:rPr>
              <w:t xml:space="preserve"> </w:t>
            </w:r>
            <w:r w:rsidRPr="005550AA">
              <w:t>Lighting Requirement</w:t>
            </w:r>
          </w:p>
        </w:tc>
        <w:tc>
          <w:tcPr>
            <w:tcW w:w="2792" w:type="dxa"/>
          </w:tcPr>
          <w:p w14:paraId="065A03D4" w14:textId="4319C0E9" w:rsidR="001177FA" w:rsidRPr="005550AA" w:rsidRDefault="001177FA" w:rsidP="008C2C9D">
            <w:pPr>
              <w:keepNext/>
              <w:keepLines/>
              <w:jc w:val="center"/>
              <w:cnfStyle w:val="100000000000" w:firstRow="1" w:lastRow="0" w:firstColumn="0" w:lastColumn="0" w:oddVBand="0" w:evenVBand="0" w:oddHBand="0" w:evenHBand="0" w:firstRowFirstColumn="0" w:firstRowLastColumn="0" w:lastRowFirstColumn="0" w:lastRowLastColumn="0"/>
            </w:pPr>
            <w:r>
              <w:t>Code</w:t>
            </w:r>
          </w:p>
        </w:tc>
        <w:tc>
          <w:tcPr>
            <w:tcW w:w="2792" w:type="dxa"/>
          </w:tcPr>
          <w:p w14:paraId="6B87BFE8" w14:textId="60B4E5BC" w:rsidR="001177FA" w:rsidRPr="005550AA" w:rsidRDefault="001177FA" w:rsidP="008C2C9D">
            <w:pPr>
              <w:keepNext/>
              <w:keepLines/>
              <w:jc w:val="center"/>
              <w:cnfStyle w:val="100000000000" w:firstRow="1" w:lastRow="0" w:firstColumn="0" w:lastColumn="0" w:oddVBand="0" w:evenVBand="0" w:oddHBand="0" w:evenHBand="0" w:firstRowFirstColumn="0" w:firstRowLastColumn="0" w:lastRowFirstColumn="0" w:lastRowLastColumn="0"/>
            </w:pPr>
            <w:r>
              <w:t>Section</w:t>
            </w:r>
          </w:p>
        </w:tc>
      </w:tr>
      <w:tr w:rsidR="001177FA" w14:paraId="38DCA91D" w14:textId="77777777" w:rsidTr="00086AA4">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690" w:type="dxa"/>
          </w:tcPr>
          <w:p w14:paraId="38B976C3" w14:textId="77777777" w:rsidR="001177FA" w:rsidRDefault="001177FA" w:rsidP="008C2C9D">
            <w:pPr>
              <w:keepNext/>
              <w:keepLines/>
              <w:rPr>
                <w:color w:val="000000"/>
              </w:rPr>
            </w:pPr>
            <w:r>
              <w:rPr>
                <w:color w:val="000000"/>
              </w:rPr>
              <w:t>Occupancy Sensor Controls</w:t>
            </w:r>
          </w:p>
        </w:tc>
        <w:tc>
          <w:tcPr>
            <w:tcW w:w="2792" w:type="dxa"/>
          </w:tcPr>
          <w:p w14:paraId="408AB700" w14:textId="22041F6C" w:rsidR="001177FA" w:rsidRDefault="001177FA" w:rsidP="008C2C9D">
            <w:pPr>
              <w:keepNext/>
              <w:keepLines/>
              <w:ind w:left="702"/>
              <w:cnfStyle w:val="000000100000" w:firstRow="0" w:lastRow="0" w:firstColumn="0" w:lastColumn="0" w:oddVBand="0" w:evenVBand="0" w:oddHBand="1" w:evenHBand="0" w:firstRowFirstColumn="0" w:firstRowLastColumn="0" w:lastRowFirstColumn="0" w:lastRowLastColumn="0"/>
              <w:rPr>
                <w:color w:val="000000"/>
              </w:rPr>
            </w:pPr>
            <w:r w:rsidRPr="001177FA">
              <w:rPr>
                <w:color w:val="000000"/>
              </w:rPr>
              <w:t xml:space="preserve">2017 </w:t>
            </w:r>
            <w:r>
              <w:rPr>
                <w:color w:val="000000"/>
              </w:rPr>
              <w:t>COBECC</w:t>
            </w:r>
          </w:p>
        </w:tc>
        <w:tc>
          <w:tcPr>
            <w:tcW w:w="2792" w:type="dxa"/>
          </w:tcPr>
          <w:p w14:paraId="3E0DF77F" w14:textId="35227670" w:rsidR="001177FA" w:rsidRDefault="001177FA" w:rsidP="008C2C9D">
            <w:pPr>
              <w:keepNext/>
              <w:keepLines/>
              <w:ind w:left="702"/>
              <w:cnfStyle w:val="000000100000" w:firstRow="0" w:lastRow="0" w:firstColumn="0" w:lastColumn="0" w:oddVBand="0" w:evenVBand="0" w:oddHBand="1" w:evenHBand="0" w:firstRowFirstColumn="0" w:firstRowLastColumn="0" w:lastRowFirstColumn="0" w:lastRowLastColumn="0"/>
              <w:rPr>
                <w:color w:val="000000"/>
              </w:rPr>
            </w:pPr>
            <w:r>
              <w:rPr>
                <w:color w:val="000000"/>
              </w:rPr>
              <w:t>C405.2.2.2</w:t>
            </w:r>
          </w:p>
        </w:tc>
      </w:tr>
      <w:tr w:rsidR="001177FA" w14:paraId="7D785D54" w14:textId="77777777" w:rsidTr="00086AA4">
        <w:trPr>
          <w:trHeight w:val="286"/>
        </w:trPr>
        <w:tc>
          <w:tcPr>
            <w:cnfStyle w:val="001000000000" w:firstRow="0" w:lastRow="0" w:firstColumn="1" w:lastColumn="0" w:oddVBand="0" w:evenVBand="0" w:oddHBand="0" w:evenHBand="0" w:firstRowFirstColumn="0" w:firstRowLastColumn="0" w:lastRowFirstColumn="0" w:lastRowLastColumn="0"/>
            <w:tcW w:w="3690" w:type="dxa"/>
          </w:tcPr>
          <w:p w14:paraId="04509F8C" w14:textId="77777777" w:rsidR="001177FA" w:rsidRDefault="001177FA" w:rsidP="008C2C9D">
            <w:pPr>
              <w:keepNext/>
              <w:keepLines/>
              <w:rPr>
                <w:color w:val="000000"/>
              </w:rPr>
            </w:pPr>
            <w:r>
              <w:rPr>
                <w:color w:val="000000"/>
              </w:rPr>
              <w:t>Time-switch Controls</w:t>
            </w:r>
          </w:p>
        </w:tc>
        <w:tc>
          <w:tcPr>
            <w:tcW w:w="2792" w:type="dxa"/>
          </w:tcPr>
          <w:p w14:paraId="74915F1B" w14:textId="5DD27E3B" w:rsidR="001177FA" w:rsidRDefault="001177FA" w:rsidP="008C2C9D">
            <w:pPr>
              <w:keepNext/>
              <w:keepLines/>
              <w:ind w:left="702"/>
              <w:cnfStyle w:val="000000000000" w:firstRow="0" w:lastRow="0" w:firstColumn="0" w:lastColumn="0" w:oddVBand="0" w:evenVBand="0" w:oddHBand="0" w:evenHBand="0" w:firstRowFirstColumn="0" w:firstRowLastColumn="0" w:lastRowFirstColumn="0" w:lastRowLastColumn="0"/>
              <w:rPr>
                <w:color w:val="000000"/>
              </w:rPr>
            </w:pPr>
            <w:r>
              <w:rPr>
                <w:color w:val="000000"/>
              </w:rPr>
              <w:t>2017 COBECC</w:t>
            </w:r>
          </w:p>
        </w:tc>
        <w:tc>
          <w:tcPr>
            <w:tcW w:w="2792" w:type="dxa"/>
          </w:tcPr>
          <w:p w14:paraId="24056174" w14:textId="0B51CCEC" w:rsidR="001177FA" w:rsidRDefault="001177FA" w:rsidP="008C2C9D">
            <w:pPr>
              <w:keepNext/>
              <w:keepLines/>
              <w:ind w:left="702"/>
              <w:cnfStyle w:val="000000000000" w:firstRow="0" w:lastRow="0" w:firstColumn="0" w:lastColumn="0" w:oddVBand="0" w:evenVBand="0" w:oddHBand="0" w:evenHBand="0" w:firstRowFirstColumn="0" w:firstRowLastColumn="0" w:lastRowFirstColumn="0" w:lastRowLastColumn="0"/>
              <w:rPr>
                <w:color w:val="000000"/>
              </w:rPr>
            </w:pPr>
            <w:r>
              <w:rPr>
                <w:color w:val="000000"/>
              </w:rPr>
              <w:t>C405.2.2.1</w:t>
            </w:r>
          </w:p>
        </w:tc>
      </w:tr>
      <w:tr w:rsidR="001177FA" w14:paraId="21EFF58E" w14:textId="77777777" w:rsidTr="00086AA4">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690" w:type="dxa"/>
          </w:tcPr>
          <w:p w14:paraId="0DA15695" w14:textId="77777777" w:rsidR="001177FA" w:rsidRDefault="001177FA" w:rsidP="008C2C9D">
            <w:pPr>
              <w:keepNext/>
              <w:keepLines/>
              <w:rPr>
                <w:color w:val="000000"/>
              </w:rPr>
            </w:pPr>
            <w:r>
              <w:rPr>
                <w:color w:val="000000"/>
              </w:rPr>
              <w:t>Exterior Lighting Controls</w:t>
            </w:r>
          </w:p>
        </w:tc>
        <w:tc>
          <w:tcPr>
            <w:tcW w:w="2792" w:type="dxa"/>
          </w:tcPr>
          <w:p w14:paraId="2EC0E0B4" w14:textId="523CE09C" w:rsidR="001177FA" w:rsidRDefault="001177FA" w:rsidP="008C2C9D">
            <w:pPr>
              <w:keepNext/>
              <w:keepLines/>
              <w:ind w:left="702"/>
              <w:cnfStyle w:val="000000100000" w:firstRow="0" w:lastRow="0" w:firstColumn="0" w:lastColumn="0" w:oddVBand="0" w:evenVBand="0" w:oddHBand="1" w:evenHBand="0" w:firstRowFirstColumn="0" w:firstRowLastColumn="0" w:lastRowFirstColumn="0" w:lastRowLastColumn="0"/>
              <w:rPr>
                <w:color w:val="000000"/>
              </w:rPr>
            </w:pPr>
            <w:r>
              <w:rPr>
                <w:color w:val="000000"/>
              </w:rPr>
              <w:t>2017 COBECC</w:t>
            </w:r>
          </w:p>
        </w:tc>
        <w:tc>
          <w:tcPr>
            <w:tcW w:w="2792" w:type="dxa"/>
          </w:tcPr>
          <w:p w14:paraId="0183375F" w14:textId="176233C0" w:rsidR="001177FA" w:rsidRDefault="001177FA" w:rsidP="008C2C9D">
            <w:pPr>
              <w:keepNext/>
              <w:keepLines/>
              <w:ind w:left="702"/>
              <w:cnfStyle w:val="000000100000" w:firstRow="0" w:lastRow="0" w:firstColumn="0" w:lastColumn="0" w:oddVBand="0" w:evenVBand="0" w:oddHBand="1" w:evenHBand="0" w:firstRowFirstColumn="0" w:firstRowLastColumn="0" w:lastRowFirstColumn="0" w:lastRowLastColumn="0"/>
              <w:rPr>
                <w:color w:val="000000"/>
              </w:rPr>
            </w:pPr>
            <w:r>
              <w:rPr>
                <w:color w:val="000000"/>
              </w:rPr>
              <w:t>C405.2.4</w:t>
            </w:r>
          </w:p>
        </w:tc>
      </w:tr>
      <w:tr w:rsidR="001177FA" w14:paraId="4CBAE348" w14:textId="77777777" w:rsidTr="00086AA4">
        <w:trPr>
          <w:trHeight w:val="286"/>
        </w:trPr>
        <w:tc>
          <w:tcPr>
            <w:cnfStyle w:val="001000000000" w:firstRow="0" w:lastRow="0" w:firstColumn="1" w:lastColumn="0" w:oddVBand="0" w:evenVBand="0" w:oddHBand="0" w:evenHBand="0" w:firstRowFirstColumn="0" w:firstRowLastColumn="0" w:lastRowFirstColumn="0" w:lastRowLastColumn="0"/>
            <w:tcW w:w="3690" w:type="dxa"/>
          </w:tcPr>
          <w:p w14:paraId="0DAC0B5A" w14:textId="77777777" w:rsidR="001177FA" w:rsidRDefault="001177FA" w:rsidP="008C2C9D">
            <w:pPr>
              <w:keepNext/>
              <w:keepLines/>
              <w:rPr>
                <w:color w:val="000000"/>
              </w:rPr>
            </w:pPr>
            <w:r>
              <w:rPr>
                <w:color w:val="000000"/>
              </w:rPr>
              <w:t>Interior Lighting - Power</w:t>
            </w:r>
          </w:p>
        </w:tc>
        <w:tc>
          <w:tcPr>
            <w:tcW w:w="2792" w:type="dxa"/>
          </w:tcPr>
          <w:p w14:paraId="1D58C87A" w14:textId="60AE4EFA" w:rsidR="001177FA" w:rsidRDefault="001177FA" w:rsidP="008C2C9D">
            <w:pPr>
              <w:keepNext/>
              <w:keepLines/>
              <w:ind w:left="702"/>
              <w:cnfStyle w:val="000000000000" w:firstRow="0" w:lastRow="0" w:firstColumn="0" w:lastColumn="0" w:oddVBand="0" w:evenVBand="0" w:oddHBand="0" w:evenHBand="0" w:firstRowFirstColumn="0" w:firstRowLastColumn="0" w:lastRowFirstColumn="0" w:lastRowLastColumn="0"/>
              <w:rPr>
                <w:color w:val="000000"/>
              </w:rPr>
            </w:pPr>
            <w:r>
              <w:rPr>
                <w:color w:val="000000"/>
              </w:rPr>
              <w:t>2017 COBECC</w:t>
            </w:r>
          </w:p>
        </w:tc>
        <w:tc>
          <w:tcPr>
            <w:tcW w:w="2792" w:type="dxa"/>
          </w:tcPr>
          <w:p w14:paraId="1C3C349B" w14:textId="0CAF0249" w:rsidR="001177FA" w:rsidRDefault="001177FA" w:rsidP="008C2C9D">
            <w:pPr>
              <w:keepNext/>
              <w:keepLines/>
              <w:ind w:left="702"/>
              <w:cnfStyle w:val="000000000000" w:firstRow="0" w:lastRow="0" w:firstColumn="0" w:lastColumn="0" w:oddVBand="0" w:evenVBand="0" w:oddHBand="0" w:evenHBand="0" w:firstRowFirstColumn="0" w:firstRowLastColumn="0" w:lastRowFirstColumn="0" w:lastRowLastColumn="0"/>
              <w:rPr>
                <w:color w:val="000000"/>
              </w:rPr>
            </w:pPr>
            <w:r>
              <w:rPr>
                <w:color w:val="000000"/>
              </w:rPr>
              <w:t>C405.5</w:t>
            </w:r>
          </w:p>
        </w:tc>
      </w:tr>
      <w:tr w:rsidR="001177FA" w14:paraId="607D13EF" w14:textId="77777777" w:rsidTr="00086AA4">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690" w:type="dxa"/>
          </w:tcPr>
          <w:p w14:paraId="38AE0F7F" w14:textId="77777777" w:rsidR="001177FA" w:rsidRDefault="001177FA" w:rsidP="008C2C9D">
            <w:pPr>
              <w:keepNext/>
              <w:keepLines/>
              <w:rPr>
                <w:color w:val="000000"/>
              </w:rPr>
            </w:pPr>
            <w:r>
              <w:rPr>
                <w:color w:val="000000"/>
              </w:rPr>
              <w:t>Exterior Lighting - Power</w:t>
            </w:r>
          </w:p>
        </w:tc>
        <w:tc>
          <w:tcPr>
            <w:tcW w:w="2792" w:type="dxa"/>
          </w:tcPr>
          <w:p w14:paraId="60C8CFB7" w14:textId="075D61C4" w:rsidR="001177FA" w:rsidRDefault="001177FA" w:rsidP="008C2C9D">
            <w:pPr>
              <w:keepNext/>
              <w:keepLines/>
              <w:ind w:left="702"/>
              <w:cnfStyle w:val="000000100000" w:firstRow="0" w:lastRow="0" w:firstColumn="0" w:lastColumn="0" w:oddVBand="0" w:evenVBand="0" w:oddHBand="1" w:evenHBand="0" w:firstRowFirstColumn="0" w:firstRowLastColumn="0" w:lastRowFirstColumn="0" w:lastRowLastColumn="0"/>
              <w:rPr>
                <w:color w:val="000000"/>
              </w:rPr>
            </w:pPr>
            <w:r>
              <w:rPr>
                <w:color w:val="000000"/>
              </w:rPr>
              <w:t>2012 IECC</w:t>
            </w:r>
          </w:p>
        </w:tc>
        <w:tc>
          <w:tcPr>
            <w:tcW w:w="2792" w:type="dxa"/>
          </w:tcPr>
          <w:p w14:paraId="08953E20" w14:textId="1D032FA1" w:rsidR="001177FA" w:rsidRDefault="001177FA" w:rsidP="008C2C9D">
            <w:pPr>
              <w:keepNext/>
              <w:keepLines/>
              <w:ind w:left="702"/>
              <w:cnfStyle w:val="000000100000" w:firstRow="0" w:lastRow="0" w:firstColumn="0" w:lastColumn="0" w:oddVBand="0" w:evenVBand="0" w:oddHBand="1" w:evenHBand="0" w:firstRowFirstColumn="0" w:firstRowLastColumn="0" w:lastRowFirstColumn="0" w:lastRowLastColumn="0"/>
              <w:rPr>
                <w:color w:val="000000"/>
              </w:rPr>
            </w:pPr>
            <w:r>
              <w:rPr>
                <w:color w:val="000000"/>
              </w:rPr>
              <w:t>C405.6</w:t>
            </w:r>
          </w:p>
        </w:tc>
      </w:tr>
    </w:tbl>
    <w:p w14:paraId="3972AE83" w14:textId="77777777" w:rsidR="006E2033" w:rsidRDefault="006E2033" w:rsidP="006E2033"/>
    <w:p w14:paraId="7F9DA6A3" w14:textId="752F6FE3" w:rsidR="006E2033" w:rsidRDefault="006E2033" w:rsidP="006E2033">
      <w:r w:rsidRPr="00C2766C">
        <w:t xml:space="preserve">There are several </w:t>
      </w:r>
      <w:r>
        <w:t>exceptions</w:t>
      </w:r>
      <w:r w:rsidRPr="00C2766C">
        <w:t xml:space="preserve"> to these requirements such as emergency lighting, special needs lighting, and historic </w:t>
      </w:r>
      <w:r w:rsidRPr="00FE317D">
        <w:t>landmarks. The</w:t>
      </w:r>
      <w:r>
        <w:t xml:space="preserve"> applicable </w:t>
      </w:r>
      <w:hyperlink r:id="rId51" w:history="1">
        <w:r w:rsidRPr="001E6EE1">
          <w:rPr>
            <w:rStyle w:val="Hyperlink"/>
          </w:rPr>
          <w:t>IECC e</w:t>
        </w:r>
        <w:r>
          <w:rPr>
            <w:rStyle w:val="Hyperlink"/>
          </w:rPr>
          <w:t>x</w:t>
        </w:r>
        <w:r w:rsidRPr="001E6EE1">
          <w:rPr>
            <w:rStyle w:val="Hyperlink"/>
          </w:rPr>
          <w:t>ceptions</w:t>
        </w:r>
      </w:hyperlink>
      <w:r>
        <w:t xml:space="preserve"> </w:t>
      </w:r>
      <w:r w:rsidR="001177FA">
        <w:t xml:space="preserve">and </w:t>
      </w:r>
      <w:hyperlink r:id="rId52" w:history="1">
        <w:r w:rsidR="001177FA" w:rsidRPr="001177FA">
          <w:rPr>
            <w:rStyle w:val="Hyperlink"/>
          </w:rPr>
          <w:t>COBECC excep</w:t>
        </w:r>
        <w:r w:rsidR="001177FA">
          <w:rPr>
            <w:rStyle w:val="Hyperlink"/>
          </w:rPr>
          <w:t>tions</w:t>
        </w:r>
      </w:hyperlink>
      <w:r w:rsidR="001177FA">
        <w:t xml:space="preserve"> </w:t>
      </w:r>
      <w:r>
        <w:t xml:space="preserve">are available </w:t>
      </w:r>
      <w:r w:rsidRPr="001E6EE1">
        <w:t>online</w:t>
      </w:r>
      <w:r>
        <w:t xml:space="preserve"> in the sections of the code identified above.</w:t>
      </w:r>
    </w:p>
    <w:p w14:paraId="5E0EAD41" w14:textId="7292ECA0" w:rsidR="00C66D22" w:rsidRPr="000824E4" w:rsidRDefault="00592052" w:rsidP="000824E4">
      <w:pPr>
        <w:pStyle w:val="Heading2"/>
      </w:pPr>
      <w:bookmarkStart w:id="812" w:name="_Toc441482652"/>
      <w:bookmarkStart w:id="813" w:name="_Toc445462108"/>
      <w:bookmarkStart w:id="814" w:name="_Toc445462979"/>
      <w:bookmarkStart w:id="815" w:name="_Ref447197156"/>
      <w:bookmarkStart w:id="816" w:name="_Toc530563765"/>
      <w:r>
        <w:lastRenderedPageBreak/>
        <w:t>3.2</w:t>
      </w:r>
      <w:r>
        <w:tab/>
      </w:r>
      <w:r w:rsidR="0003491F" w:rsidRPr="000824E4">
        <w:t>Prepar</w:t>
      </w:r>
      <w:r w:rsidR="002116FC">
        <w:t>ing</w:t>
      </w:r>
      <w:r w:rsidR="0003491F" w:rsidRPr="000824E4">
        <w:t xml:space="preserve"> for and Manag</w:t>
      </w:r>
      <w:r w:rsidR="002116FC">
        <w:t xml:space="preserve">ing </w:t>
      </w:r>
      <w:r w:rsidR="0003491F" w:rsidRPr="000824E4">
        <w:t>the Lighting Upgrade</w:t>
      </w:r>
      <w:bookmarkEnd w:id="812"/>
      <w:bookmarkEnd w:id="813"/>
      <w:bookmarkEnd w:id="814"/>
      <w:bookmarkEnd w:id="815"/>
      <w:bookmarkEnd w:id="816"/>
    </w:p>
    <w:p w14:paraId="74198222" w14:textId="77777777" w:rsidR="002A1D7E" w:rsidRDefault="002A1D7E" w:rsidP="002A1D7E">
      <w:r>
        <w:t xml:space="preserve">Although the lighting </w:t>
      </w:r>
      <w:r w:rsidR="008D0437">
        <w:t>service provider</w:t>
      </w:r>
      <w:r w:rsidR="00B92435">
        <w:t xml:space="preserve"> will perform most</w:t>
      </w:r>
      <w:r>
        <w:t xml:space="preserve"> </w:t>
      </w:r>
      <w:r w:rsidR="00B92435">
        <w:t xml:space="preserve">of </w:t>
      </w:r>
      <w:r>
        <w:t xml:space="preserve">the work, there are still tasks that the building owner must perform for the lighting upgrade to be successful. </w:t>
      </w:r>
      <w:r w:rsidR="00DC5112">
        <w:t>These tasks are all based on industry best practices and are not required by code unless otherwise indicated.</w:t>
      </w:r>
    </w:p>
    <w:p w14:paraId="11A2454B" w14:textId="77777777" w:rsidR="00D27B37" w:rsidRDefault="00D27B37" w:rsidP="00D27B37">
      <w:pPr>
        <w:pStyle w:val="ListParagraph"/>
        <w:numPr>
          <w:ilvl w:val="0"/>
          <w:numId w:val="26"/>
        </w:numPr>
      </w:pPr>
      <w:r>
        <w:t xml:space="preserve">Draft a work plan to include the tasks for </w:t>
      </w:r>
      <w:r w:rsidR="00AE0331">
        <w:t>the owner</w:t>
      </w:r>
      <w:r>
        <w:t xml:space="preserve"> and </w:t>
      </w:r>
      <w:r w:rsidR="00AE0331">
        <w:t>the</w:t>
      </w:r>
      <w:r>
        <w:t xml:space="preserve"> tenants, such as compliance schedule, required meetings and attendees, and arrangements for the provider to access the building.</w:t>
      </w:r>
      <w:r>
        <w:rPr>
          <w:rStyle w:val="FootnoteReference"/>
        </w:rPr>
        <w:footnoteReference w:id="12"/>
      </w:r>
      <w:r>
        <w:t xml:space="preserve">  </w:t>
      </w:r>
    </w:p>
    <w:p w14:paraId="19491A4D" w14:textId="0375DA23" w:rsidR="004F53D2" w:rsidRPr="00515C39" w:rsidRDefault="004F53D2" w:rsidP="00D95D5D">
      <w:pPr>
        <w:pStyle w:val="ListParagraph"/>
        <w:numPr>
          <w:ilvl w:val="0"/>
          <w:numId w:val="26"/>
        </w:numPr>
      </w:pPr>
      <w:r>
        <w:t>Work with</w:t>
      </w:r>
      <w:r w:rsidR="00AE0331">
        <w:t xml:space="preserve"> the service provider to </w:t>
      </w:r>
      <w:r>
        <w:t xml:space="preserve">apply for available lighting rebates </w:t>
      </w:r>
      <w:r w:rsidR="00A101AD">
        <w:t xml:space="preserve">(see available rebates under </w:t>
      </w:r>
      <w:r w:rsidR="009C5E1C" w:rsidRPr="00515C39">
        <w:rPr>
          <w:b/>
        </w:rPr>
        <w:fldChar w:fldCharType="begin"/>
      </w:r>
      <w:r w:rsidR="009C5E1C" w:rsidRPr="00515C39">
        <w:rPr>
          <w:b/>
        </w:rPr>
        <w:instrText xml:space="preserve"> REF _Ref447778848 \h  \* MERGEFORMAT </w:instrText>
      </w:r>
      <w:r w:rsidR="009C5E1C" w:rsidRPr="00515C39">
        <w:rPr>
          <w:b/>
        </w:rPr>
      </w:r>
      <w:r w:rsidR="009C5E1C" w:rsidRPr="00515C39">
        <w:rPr>
          <w:b/>
        </w:rPr>
        <w:fldChar w:fldCharType="separate"/>
      </w:r>
      <w:r w:rsidR="00324ADD" w:rsidRPr="00CB1FA9">
        <w:rPr>
          <w:rStyle w:val="Hyperlink"/>
          <w:b/>
          <w:color w:val="auto"/>
          <w:u w:val="none"/>
        </w:rPr>
        <w:t>Rebates, Incentives, and Financing Options</w:t>
      </w:r>
      <w:r w:rsidR="009C5E1C" w:rsidRPr="00515C39">
        <w:rPr>
          <w:b/>
        </w:rPr>
        <w:fldChar w:fldCharType="end"/>
      </w:r>
      <w:r w:rsidR="00A101AD" w:rsidRPr="00515C39">
        <w:t>).</w:t>
      </w:r>
    </w:p>
    <w:p w14:paraId="2482BD76" w14:textId="77777777" w:rsidR="00D95D5D" w:rsidRDefault="00D95D5D" w:rsidP="00D717D1">
      <w:pPr>
        <w:pStyle w:val="ListParagraph"/>
        <w:numPr>
          <w:ilvl w:val="1"/>
          <w:numId w:val="26"/>
        </w:numPr>
      </w:pPr>
      <w:r w:rsidRPr="00431A57">
        <w:t xml:space="preserve">The </w:t>
      </w:r>
      <w:r>
        <w:t>federal tax code section 179D provides tax deductions of from $0.30 to $0.60 per square foot for meeting specific lighting requirements</w:t>
      </w:r>
      <w:r w:rsidRPr="00431A57">
        <w:t>.</w:t>
      </w:r>
      <w:r>
        <w:t xml:space="preserve"> Be sure to discuss this specific incentive with the </w:t>
      </w:r>
      <w:r w:rsidR="00AE0331">
        <w:t xml:space="preserve">lighting </w:t>
      </w:r>
      <w:r>
        <w:t xml:space="preserve">service provider </w:t>
      </w:r>
      <w:r w:rsidR="00AE0331">
        <w:t xml:space="preserve">selected </w:t>
      </w:r>
      <w:r>
        <w:t xml:space="preserve">to see if these benefits may apply to </w:t>
      </w:r>
      <w:r w:rsidR="00AE0331">
        <w:t>the affected</w:t>
      </w:r>
      <w:r>
        <w:t xml:space="preserve"> building.</w:t>
      </w:r>
    </w:p>
    <w:p w14:paraId="46AB2844" w14:textId="2234E5F7" w:rsidR="007C4B86" w:rsidRPr="00447064" w:rsidRDefault="0034282C" w:rsidP="006C70F7">
      <w:pPr>
        <w:pStyle w:val="ListParagraph"/>
        <w:numPr>
          <w:ilvl w:val="0"/>
          <w:numId w:val="26"/>
        </w:numPr>
      </w:pPr>
      <w:r>
        <w:t xml:space="preserve">Ensure that </w:t>
      </w:r>
      <w:r w:rsidR="00AE0331">
        <w:t>the</w:t>
      </w:r>
      <w:r>
        <w:t xml:space="preserve"> chosen l</w:t>
      </w:r>
      <w:r w:rsidR="00A83534">
        <w:t xml:space="preserve">ighting </w:t>
      </w:r>
      <w:r>
        <w:t xml:space="preserve">service provider is </w:t>
      </w:r>
      <w:r w:rsidR="00A83534">
        <w:t xml:space="preserve">familiar with the </w:t>
      </w:r>
      <w:proofErr w:type="spellStart"/>
      <w:r w:rsidR="00A83534">
        <w:t>COM</w:t>
      </w:r>
      <w:r w:rsidR="00A83534" w:rsidRPr="00DC5112">
        <w:rPr>
          <w:i/>
        </w:rPr>
        <w:t>check</w:t>
      </w:r>
      <w:r w:rsidR="00A83534" w:rsidRPr="00DC5112">
        <w:rPr>
          <w:vertAlign w:val="superscript"/>
        </w:rPr>
        <w:t>TM</w:t>
      </w:r>
      <w:proofErr w:type="spellEnd"/>
      <w:r w:rsidR="00A83534">
        <w:t xml:space="preserve"> tools</w:t>
      </w:r>
      <w:r w:rsidR="006E2033">
        <w:rPr>
          <w:rStyle w:val="FootnoteReference"/>
        </w:rPr>
        <w:footnoteReference w:id="13"/>
      </w:r>
      <w:r w:rsidR="000824E4">
        <w:t xml:space="preserve"> and the </w:t>
      </w:r>
      <w:hyperlink r:id="rId53" w:history="1">
        <w:r w:rsidR="00512610" w:rsidRPr="00982F68">
          <w:rPr>
            <w:rStyle w:val="Hyperlink"/>
          </w:rPr>
          <w:t>Interior Lighting</w:t>
        </w:r>
        <w:r w:rsidR="000824E4" w:rsidRPr="00982F68">
          <w:rPr>
            <w:rStyle w:val="Hyperlink"/>
          </w:rPr>
          <w:t xml:space="preserve"> </w:t>
        </w:r>
        <w:r w:rsidR="00512610" w:rsidRPr="00982F68">
          <w:rPr>
            <w:rStyle w:val="Hyperlink"/>
          </w:rPr>
          <w:t>C</w:t>
        </w:r>
        <w:r w:rsidR="000824E4" w:rsidRPr="00982F68">
          <w:rPr>
            <w:rStyle w:val="Hyperlink"/>
          </w:rPr>
          <w:t>omp</w:t>
        </w:r>
        <w:r w:rsidR="000824E4" w:rsidRPr="00982F68">
          <w:rPr>
            <w:rStyle w:val="Hyperlink"/>
          </w:rPr>
          <w:t>l</w:t>
        </w:r>
        <w:r w:rsidR="000824E4" w:rsidRPr="00982F68">
          <w:rPr>
            <w:rStyle w:val="Hyperlink"/>
          </w:rPr>
          <w:t>iance</w:t>
        </w:r>
        <w:r w:rsidR="00512610" w:rsidRPr="00982F68">
          <w:rPr>
            <w:rStyle w:val="Hyperlink"/>
          </w:rPr>
          <w:t xml:space="preserve"> Form</w:t>
        </w:r>
      </w:hyperlink>
      <w:r w:rsidR="00A83534">
        <w:t xml:space="preserve"> and what information is required to complete the lighting power density (LPD) calculation for compliance. </w:t>
      </w:r>
      <w:r w:rsidR="00447064">
        <w:t xml:space="preserve">See </w:t>
      </w:r>
      <w:hyperlink w:anchor="_3.3_Reporting_Upgrades" w:history="1">
        <w:r w:rsidR="00447064" w:rsidRPr="00CB1FA9">
          <w:rPr>
            <w:rStyle w:val="Hyperlink"/>
            <w:b/>
            <w:color w:val="auto"/>
            <w:u w:val="none"/>
          </w:rPr>
          <w:t>Reporting Upgrades to the City</w:t>
        </w:r>
      </w:hyperlink>
      <w:r w:rsidR="00447064">
        <w:rPr>
          <w:rStyle w:val="Hyperlink"/>
          <w:b/>
          <w:color w:val="FF9900" w:themeColor="text1"/>
          <w:u w:val="none"/>
        </w:rPr>
        <w:t xml:space="preserve"> </w:t>
      </w:r>
      <w:r w:rsidR="00447064" w:rsidRPr="00447064">
        <w:t>for more information</w:t>
      </w:r>
      <w:r w:rsidR="00447064">
        <w:t xml:space="preserve"> on information needed for compliance. </w:t>
      </w:r>
    </w:p>
    <w:p w14:paraId="2F348EB9" w14:textId="77777777" w:rsidR="00A83534" w:rsidRDefault="007C4B86" w:rsidP="006C70F7">
      <w:pPr>
        <w:pStyle w:val="ListParagraph"/>
        <w:numPr>
          <w:ilvl w:val="0"/>
          <w:numId w:val="26"/>
        </w:numPr>
      </w:pPr>
      <w:r>
        <w:t>Provide the lighting service providers with</w:t>
      </w:r>
      <w:r w:rsidR="003E569E">
        <w:t xml:space="preserve"> the following documents:</w:t>
      </w:r>
    </w:p>
    <w:p w14:paraId="0E5416C4" w14:textId="77777777" w:rsidR="00DC5112" w:rsidRDefault="00B70ED1" w:rsidP="006C70F7">
      <w:pPr>
        <w:pStyle w:val="ListParagraph"/>
        <w:numPr>
          <w:ilvl w:val="1"/>
          <w:numId w:val="26"/>
        </w:numPr>
      </w:pPr>
      <w:r>
        <w:t>D</w:t>
      </w:r>
      <w:r w:rsidR="002A1D7E">
        <w:t xml:space="preserve">rawings such as electrical </w:t>
      </w:r>
      <w:r w:rsidR="0002599C">
        <w:t>one-line</w:t>
      </w:r>
      <w:r w:rsidR="002A1D7E">
        <w:t xml:space="preserve"> diagrams, </w:t>
      </w:r>
    </w:p>
    <w:p w14:paraId="4AFA2296" w14:textId="77777777" w:rsidR="00DC5112" w:rsidRDefault="00B70ED1" w:rsidP="006C70F7">
      <w:pPr>
        <w:pStyle w:val="ListParagraph"/>
        <w:numPr>
          <w:ilvl w:val="1"/>
          <w:numId w:val="26"/>
        </w:numPr>
      </w:pPr>
      <w:r>
        <w:t>L</w:t>
      </w:r>
      <w:r w:rsidR="002A1D7E">
        <w:t xml:space="preserve">ighting equipment schedules, </w:t>
      </w:r>
    </w:p>
    <w:p w14:paraId="790DB5F9" w14:textId="77777777" w:rsidR="00DC5112" w:rsidRDefault="00B70ED1" w:rsidP="006C70F7">
      <w:pPr>
        <w:pStyle w:val="ListParagraph"/>
        <w:numPr>
          <w:ilvl w:val="1"/>
          <w:numId w:val="26"/>
        </w:numPr>
      </w:pPr>
      <w:r>
        <w:t>R</w:t>
      </w:r>
      <w:r w:rsidR="002A1D7E">
        <w:t>eflected ceiling plans</w:t>
      </w:r>
      <w:r w:rsidR="003E569E">
        <w:t>,</w:t>
      </w:r>
      <w:r w:rsidR="002A1D7E">
        <w:t xml:space="preserve"> </w:t>
      </w:r>
      <w:r w:rsidR="003C78AA">
        <w:t>and</w:t>
      </w:r>
    </w:p>
    <w:p w14:paraId="1E0AF75D" w14:textId="77777777" w:rsidR="002A1D7E" w:rsidRDefault="00B70ED1" w:rsidP="006C70F7">
      <w:pPr>
        <w:pStyle w:val="ListParagraph"/>
        <w:numPr>
          <w:ilvl w:val="1"/>
          <w:numId w:val="26"/>
        </w:numPr>
      </w:pPr>
      <w:r>
        <w:t>L</w:t>
      </w:r>
      <w:r w:rsidR="002A1D7E">
        <w:t xml:space="preserve">ighting maintenance records </w:t>
      </w:r>
      <w:r w:rsidR="003E569E">
        <w:t>and materials list</w:t>
      </w:r>
      <w:r w:rsidR="002A1D7E">
        <w:t xml:space="preserve">. </w:t>
      </w:r>
    </w:p>
    <w:p w14:paraId="25C05F76" w14:textId="77777777" w:rsidR="002A1D7E" w:rsidRDefault="00D27B37" w:rsidP="006C70F7">
      <w:pPr>
        <w:pStyle w:val="ListParagraph"/>
        <w:numPr>
          <w:ilvl w:val="0"/>
          <w:numId w:val="26"/>
        </w:numPr>
      </w:pPr>
      <w:r>
        <w:t xml:space="preserve">Ensure </w:t>
      </w:r>
      <w:r w:rsidR="002A1D7E">
        <w:t>facility management personnel responsible for lighting operations and maintenance</w:t>
      </w:r>
      <w:r>
        <w:t xml:space="preserve"> are available to answer questions.</w:t>
      </w:r>
    </w:p>
    <w:p w14:paraId="601AFFF1" w14:textId="1CB9AD9D" w:rsidR="00C66D22" w:rsidRDefault="00592052" w:rsidP="000824E4">
      <w:pPr>
        <w:pStyle w:val="Heading3"/>
      </w:pPr>
      <w:bookmarkStart w:id="817" w:name="_Toc441482653"/>
      <w:r>
        <w:t>3.2.1</w:t>
      </w:r>
      <w:r>
        <w:tab/>
      </w:r>
      <w:r w:rsidR="0003491F" w:rsidRPr="0003491F">
        <w:t>Owner and Tenant Responsibilities</w:t>
      </w:r>
      <w:bookmarkEnd w:id="817"/>
    </w:p>
    <w:p w14:paraId="06D9A4BC" w14:textId="339DCC5B" w:rsidR="00D27B37" w:rsidRDefault="00D27B37" w:rsidP="002A1D7E">
      <w:r>
        <w:t xml:space="preserve">If the owner decides to pass </w:t>
      </w:r>
      <w:r w:rsidR="0034282C">
        <w:t>any capital costs related to complying with these requirements through to the tenants</w:t>
      </w:r>
      <w:r>
        <w:t xml:space="preserve">, </w:t>
      </w:r>
      <w:r w:rsidR="00397F61">
        <w:t xml:space="preserve">the </w:t>
      </w:r>
      <w:hyperlink r:id="rId54" w:history="1">
        <w:r w:rsidR="00397F61" w:rsidRPr="00397F61">
          <w:rPr>
            <w:rStyle w:val="Hyperlink"/>
          </w:rPr>
          <w:t>City Manager Rules</w:t>
        </w:r>
      </w:hyperlink>
      <w:r w:rsidR="00397F61">
        <w:t xml:space="preserve"> require </w:t>
      </w:r>
      <w:r>
        <w:t xml:space="preserve">those </w:t>
      </w:r>
      <w:r w:rsidRPr="00284163">
        <w:rPr>
          <w:szCs w:val="24"/>
        </w:rPr>
        <w:t>costs be amortized over the length of the predicted payback period</w:t>
      </w:r>
      <w:r>
        <w:t>, not as a lump sum payable in a single year.</w:t>
      </w:r>
    </w:p>
    <w:p w14:paraId="66916E27" w14:textId="77777777" w:rsidR="002A1D7E" w:rsidRDefault="002A1D7E" w:rsidP="002A1D7E">
      <w:pPr>
        <w:rPr>
          <w:highlight w:val="yellow"/>
        </w:rPr>
      </w:pPr>
      <w:r w:rsidRPr="005B3216">
        <w:t xml:space="preserve">The </w:t>
      </w:r>
      <w:r w:rsidR="00F95C26">
        <w:t>c</w:t>
      </w:r>
      <w:r w:rsidR="00AC355F">
        <w:t>ity</w:t>
      </w:r>
      <w:r w:rsidRPr="005B3216">
        <w:t xml:space="preserve"> has provided a </w:t>
      </w:r>
      <w:hyperlink r:id="rId55" w:history="1">
        <w:r w:rsidRPr="00A4205C">
          <w:rPr>
            <w:rStyle w:val="Hyperlink"/>
          </w:rPr>
          <w:t>Split Incentive Guide</w:t>
        </w:r>
      </w:hyperlink>
      <w:r w:rsidRPr="000E4522">
        <w:rPr>
          <w:color w:val="0070C0"/>
        </w:rPr>
        <w:t xml:space="preserve"> </w:t>
      </w:r>
      <w:r w:rsidRPr="005B3216">
        <w:t xml:space="preserve">to </w:t>
      </w:r>
      <w:r>
        <w:t>help distinguish the specific responsibilities of the building owners and tenants as it relates to compliance with the new energy ordinance. In general, the building owner is responsible to implement the lighting upgrade within the required timeframe.</w:t>
      </w:r>
    </w:p>
    <w:p w14:paraId="743BAE4C" w14:textId="1EEA72C8" w:rsidR="002A1D7E" w:rsidRDefault="002A1D7E" w:rsidP="002A1D7E">
      <w:r w:rsidRPr="001C4A01">
        <w:t xml:space="preserve">If a tenant owns the lighting systems, it is still the responsibility of the owner to ensure that all requirements are met. Depending on the lease arrangements, the financial responsibility for the </w:t>
      </w:r>
      <w:r>
        <w:t xml:space="preserve">lighting </w:t>
      </w:r>
      <w:r w:rsidRPr="001C4A01">
        <w:t>upgrade</w:t>
      </w:r>
      <w:r>
        <w:t>s</w:t>
      </w:r>
      <w:r w:rsidRPr="001C4A01">
        <w:t xml:space="preserve"> may fall to the tenant. </w:t>
      </w:r>
    </w:p>
    <w:p w14:paraId="309A9B89" w14:textId="41E4C28C" w:rsidR="00C66D22" w:rsidRDefault="00592052" w:rsidP="000824E4">
      <w:pPr>
        <w:pStyle w:val="Heading3"/>
      </w:pPr>
      <w:bookmarkStart w:id="818" w:name="_Toc441482654"/>
      <w:bookmarkStart w:id="819" w:name="_Toc445462980"/>
      <w:bookmarkStart w:id="820" w:name="_Ref446940409"/>
      <w:r>
        <w:t>3.2.2</w:t>
      </w:r>
      <w:r>
        <w:tab/>
      </w:r>
      <w:r w:rsidR="0003491F" w:rsidRPr="0003491F">
        <w:t xml:space="preserve">Lighting Provider </w:t>
      </w:r>
      <w:r w:rsidR="0003491F" w:rsidRPr="000824E4">
        <w:t>Responsibilities</w:t>
      </w:r>
      <w:bookmarkEnd w:id="818"/>
      <w:bookmarkEnd w:id="819"/>
      <w:bookmarkEnd w:id="820"/>
    </w:p>
    <w:p w14:paraId="364DAF69" w14:textId="77777777" w:rsidR="002A1D7E" w:rsidRDefault="002A1D7E" w:rsidP="002A1D7E">
      <w:r w:rsidRPr="00501DFB">
        <w:t xml:space="preserve">The </w:t>
      </w:r>
      <w:r>
        <w:t xml:space="preserve">lighting upgrade </w:t>
      </w:r>
      <w:r w:rsidRPr="00501DFB">
        <w:t xml:space="preserve">provider is responsible </w:t>
      </w:r>
      <w:r>
        <w:t>for:</w:t>
      </w:r>
    </w:p>
    <w:p w14:paraId="5D4F2469" w14:textId="77777777" w:rsidR="002A1D7E" w:rsidRDefault="00824E8D" w:rsidP="006E73F1">
      <w:pPr>
        <w:pStyle w:val="ListParagraph"/>
        <w:numPr>
          <w:ilvl w:val="0"/>
          <w:numId w:val="8"/>
        </w:numPr>
      </w:pPr>
      <w:r>
        <w:t>U</w:t>
      </w:r>
      <w:r w:rsidR="002A1D7E">
        <w:t xml:space="preserve">nderstanding the </w:t>
      </w:r>
      <w:r w:rsidR="003C78AA">
        <w:t xml:space="preserve">lighting </w:t>
      </w:r>
      <w:r w:rsidR="002A1D7E">
        <w:t>requirements of the Building Performance Ordinance;</w:t>
      </w:r>
    </w:p>
    <w:p w14:paraId="4034C51C" w14:textId="0A64E017" w:rsidR="0034282C" w:rsidRDefault="0034282C" w:rsidP="006E73F1">
      <w:pPr>
        <w:pStyle w:val="ListParagraph"/>
        <w:numPr>
          <w:ilvl w:val="0"/>
          <w:numId w:val="8"/>
        </w:numPr>
      </w:pPr>
      <w:r>
        <w:t xml:space="preserve">Understanding the requirements of the </w:t>
      </w:r>
      <w:hyperlink r:id="rId56" w:history="1">
        <w:r>
          <w:rPr>
            <w:rStyle w:val="Hyperlink"/>
          </w:rPr>
          <w:t>City</w:t>
        </w:r>
        <w:r w:rsidRPr="009C44AE">
          <w:rPr>
            <w:rStyle w:val="Hyperlink"/>
          </w:rPr>
          <w:t xml:space="preserve"> of Boulder Outdoor Lighting Ordinance</w:t>
        </w:r>
      </w:hyperlink>
      <w:r>
        <w:t>;</w:t>
      </w:r>
    </w:p>
    <w:p w14:paraId="437A8B67" w14:textId="77777777" w:rsidR="002A1D7E" w:rsidRDefault="00824E8D" w:rsidP="006E73F1">
      <w:pPr>
        <w:pStyle w:val="ListParagraph"/>
        <w:numPr>
          <w:ilvl w:val="0"/>
          <w:numId w:val="8"/>
        </w:numPr>
      </w:pPr>
      <w:r>
        <w:t>D</w:t>
      </w:r>
      <w:r w:rsidR="002A1D7E">
        <w:t>etermining what upgrades are necessary for compliance</w:t>
      </w:r>
      <w:r w:rsidR="009C44AE">
        <w:t>;</w:t>
      </w:r>
    </w:p>
    <w:p w14:paraId="4F42CC27" w14:textId="77777777" w:rsidR="002A1D7E" w:rsidRDefault="00824E8D" w:rsidP="006E73F1">
      <w:pPr>
        <w:pStyle w:val="ListParagraph"/>
        <w:numPr>
          <w:ilvl w:val="0"/>
          <w:numId w:val="8"/>
        </w:numPr>
      </w:pPr>
      <w:r>
        <w:lastRenderedPageBreak/>
        <w:t>Im</w:t>
      </w:r>
      <w:r w:rsidR="002A1D7E">
        <w:t xml:space="preserve">plementing those upgrades (if needed); </w:t>
      </w:r>
      <w:r w:rsidR="003C25B6">
        <w:t>and</w:t>
      </w:r>
    </w:p>
    <w:p w14:paraId="509ED6EC" w14:textId="0C4D9ED5" w:rsidR="009C44AE" w:rsidRDefault="00824E8D" w:rsidP="006E73F1">
      <w:pPr>
        <w:pStyle w:val="ListParagraph"/>
        <w:numPr>
          <w:ilvl w:val="0"/>
          <w:numId w:val="8"/>
        </w:numPr>
      </w:pPr>
      <w:r>
        <w:t>D</w:t>
      </w:r>
      <w:r w:rsidR="009C44AE">
        <w:t xml:space="preserve">eveloping and </w:t>
      </w:r>
      <w:r w:rsidR="003C78AA">
        <w:t xml:space="preserve">working with the owner to submit </w:t>
      </w:r>
      <w:r w:rsidR="009C44AE">
        <w:t xml:space="preserve">the required documentation to the </w:t>
      </w:r>
      <w:r w:rsidR="00F95C26">
        <w:t>c</w:t>
      </w:r>
      <w:r w:rsidR="00AC355F">
        <w:t>ity</w:t>
      </w:r>
      <w:r w:rsidR="00594E20">
        <w:t xml:space="preserve">, to include the </w:t>
      </w:r>
      <w:hyperlink r:id="rId57" w:history="1">
        <w:r w:rsidR="00594E20" w:rsidRPr="00FA1646">
          <w:rPr>
            <w:rStyle w:val="Hyperlink"/>
          </w:rPr>
          <w:t xml:space="preserve"> Interior Lighting Compliance Form</w:t>
        </w:r>
      </w:hyperlink>
      <w:r w:rsidR="00594E20">
        <w:t xml:space="preserve"> </w:t>
      </w:r>
      <w:r w:rsidR="000963E5">
        <w:t xml:space="preserve">and/or </w:t>
      </w:r>
      <w:r w:rsidR="00FA1646">
        <w:t xml:space="preserve">a copy of </w:t>
      </w:r>
      <w:hyperlink r:id="rId58" w:history="1">
        <w:proofErr w:type="spellStart"/>
        <w:r w:rsidR="00B70335" w:rsidRPr="008F1512">
          <w:rPr>
            <w:rStyle w:val="Hyperlink"/>
          </w:rPr>
          <w:t>COMcheck</w:t>
        </w:r>
        <w:proofErr w:type="spellEnd"/>
        <w:r w:rsidR="00B70335" w:rsidRPr="008F1512">
          <w:rPr>
            <w:rStyle w:val="Hyperlink"/>
          </w:rPr>
          <w:t xml:space="preserve"> Certification for Outdoor </w:t>
        </w:r>
        <w:r w:rsidR="008D56C0" w:rsidRPr="008F1512">
          <w:rPr>
            <w:rStyle w:val="Hyperlink"/>
          </w:rPr>
          <w:t>Lighting</w:t>
        </w:r>
      </w:hyperlink>
      <w:r w:rsidR="009C44AE" w:rsidRPr="00501DFB">
        <w:t xml:space="preserve">. </w:t>
      </w:r>
    </w:p>
    <w:p w14:paraId="78A80501" w14:textId="58A267AF" w:rsidR="00D27B37" w:rsidRDefault="00D27B37" w:rsidP="00EB406D">
      <w:r>
        <w:t xml:space="preserve">If a building permit is required for the lighting renovation, please note that there is a special permit application available for lighting renovations required by the Building Performance Ordinance. </w:t>
      </w:r>
      <w:r w:rsidR="00397F61">
        <w:t xml:space="preserve">Additional information on this permit is available on the </w:t>
      </w:r>
      <w:hyperlink r:id="rId59" w:anchor="section-1822" w:history="1">
        <w:r w:rsidR="00397F61" w:rsidRPr="000824E4">
          <w:rPr>
            <w:rStyle w:val="Hyperlink"/>
          </w:rPr>
          <w:t>program website</w:t>
        </w:r>
      </w:hyperlink>
      <w:r w:rsidR="000824E4" w:rsidRPr="000824E4">
        <w:t xml:space="preserve"> under Lighting Upgrades</w:t>
      </w:r>
      <w:r w:rsidR="00397F61">
        <w:t>.</w:t>
      </w:r>
    </w:p>
    <w:p w14:paraId="4EBC283A" w14:textId="43574A97" w:rsidR="00176D46" w:rsidRPr="00C72079" w:rsidRDefault="00176D46">
      <w:bookmarkStart w:id="821" w:name="_3.3_Reporting_Upgrades"/>
      <w:bookmarkStart w:id="822" w:name="_Toc445462112"/>
      <w:bookmarkStart w:id="823" w:name="_Toc445462986"/>
      <w:bookmarkStart w:id="824" w:name="_Ref445899433"/>
      <w:bookmarkStart w:id="825" w:name="_Ref445968898"/>
      <w:bookmarkStart w:id="826" w:name="_Ref447706268"/>
      <w:bookmarkStart w:id="827" w:name="_Ref447716747"/>
      <w:bookmarkStart w:id="828" w:name="Exemptions"/>
      <w:bookmarkEnd w:id="821"/>
    </w:p>
    <w:p w14:paraId="234F02A4" w14:textId="6FA1B97C" w:rsidR="00FB0244" w:rsidRDefault="00DD58B8" w:rsidP="00BE6C02">
      <w:pPr>
        <w:pStyle w:val="Heading1"/>
        <w:rPr>
          <w:b/>
        </w:rPr>
      </w:pPr>
      <w:bookmarkStart w:id="829" w:name="_Toc441832074"/>
      <w:bookmarkStart w:id="830" w:name="_Toc445462123"/>
      <w:bookmarkStart w:id="831" w:name="_Toc445462997"/>
      <w:bookmarkStart w:id="832" w:name="_Ref445985635"/>
      <w:bookmarkStart w:id="833" w:name="_Ref447205825"/>
      <w:bookmarkStart w:id="834" w:name="_Toc530563767"/>
      <w:bookmarkEnd w:id="822"/>
      <w:bookmarkEnd w:id="823"/>
      <w:bookmarkEnd w:id="824"/>
      <w:bookmarkEnd w:id="825"/>
      <w:bookmarkEnd w:id="826"/>
      <w:bookmarkEnd w:id="827"/>
      <w:bookmarkEnd w:id="828"/>
      <w:r>
        <w:rPr>
          <w:b/>
        </w:rPr>
        <w:t>Appendix A</w:t>
      </w:r>
      <w:r w:rsidR="0003491F" w:rsidRPr="0003491F">
        <w:rPr>
          <w:b/>
        </w:rPr>
        <w:t xml:space="preserve">: Required </w:t>
      </w:r>
      <w:proofErr w:type="spellStart"/>
      <w:r w:rsidR="0003491F" w:rsidRPr="0003491F">
        <w:rPr>
          <w:b/>
        </w:rPr>
        <w:t>Retrocommissioning</w:t>
      </w:r>
      <w:proofErr w:type="spellEnd"/>
      <w:r w:rsidR="0003491F" w:rsidRPr="0003491F">
        <w:rPr>
          <w:b/>
        </w:rPr>
        <w:t xml:space="preserve"> </w:t>
      </w:r>
      <w:bookmarkEnd w:id="829"/>
      <w:r w:rsidR="0003491F" w:rsidRPr="0003491F">
        <w:rPr>
          <w:b/>
        </w:rPr>
        <w:t>Scope</w:t>
      </w:r>
      <w:bookmarkEnd w:id="830"/>
      <w:bookmarkEnd w:id="831"/>
      <w:bookmarkEnd w:id="832"/>
      <w:bookmarkEnd w:id="833"/>
      <w:bookmarkEnd w:id="834"/>
    </w:p>
    <w:p w14:paraId="29250CE5" w14:textId="69709809" w:rsidR="00A36B81" w:rsidRPr="00A52B50" w:rsidRDefault="00A36B81" w:rsidP="00A36B81">
      <w:pPr>
        <w:spacing w:after="240" w:line="240" w:lineRule="auto"/>
      </w:pPr>
      <w:r w:rsidRPr="00A52B50">
        <w:t xml:space="preserve">If the </w:t>
      </w:r>
      <w:r>
        <w:t>r</w:t>
      </w:r>
      <w:r w:rsidRPr="00A52B50">
        <w:t>etro</w:t>
      </w:r>
      <w:r w:rsidR="00134260">
        <w:t>-</w:t>
      </w:r>
      <w:r w:rsidRPr="00A52B50">
        <w:t>commissioning is conducted through a local energy utility program, the scope for that will satisfy the requirements of the ordinance, as long as it addresses b</w:t>
      </w:r>
      <w:r w:rsidR="000B2C71">
        <w:t>oth electricity and natural gas-c</w:t>
      </w:r>
      <w:r w:rsidRPr="00A52B50">
        <w:t>onsuming equipment and controls.</w:t>
      </w:r>
      <w:r w:rsidR="00360A22">
        <w:t xml:space="preserve"> Please also be prepared to upload your Xcel Recommissioning/Building Tune-up Rebate Application as part of your online submission. </w:t>
      </w:r>
    </w:p>
    <w:p w14:paraId="0D6C7354" w14:textId="5973A904" w:rsidR="00A36B81" w:rsidRPr="00A36B81" w:rsidRDefault="00A36B81" w:rsidP="00A36B81">
      <w:pPr>
        <w:spacing w:after="240" w:line="240" w:lineRule="auto"/>
      </w:pPr>
      <w:r>
        <w:t>If the r</w:t>
      </w:r>
      <w:r w:rsidRPr="00A52B50">
        <w:t>etro</w:t>
      </w:r>
      <w:r w:rsidR="00134260">
        <w:t>-</w:t>
      </w:r>
      <w:r w:rsidRPr="00A52B50">
        <w:t>commissioning is conducted outside of a local energy utility program, the</w:t>
      </w:r>
      <w:r>
        <w:rPr>
          <w:shd w:val="clear" w:color="auto" w:fill="FFFFFF"/>
        </w:rPr>
        <w:t xml:space="preserve"> scope of the r</w:t>
      </w:r>
      <w:r w:rsidRPr="00A52B50">
        <w:rPr>
          <w:shd w:val="clear" w:color="auto" w:fill="FFFFFF"/>
        </w:rPr>
        <w:t>etro</w:t>
      </w:r>
      <w:r w:rsidR="00134260">
        <w:rPr>
          <w:shd w:val="clear" w:color="auto" w:fill="FFFFFF"/>
        </w:rPr>
        <w:t>-</w:t>
      </w:r>
      <w:r w:rsidRPr="00A52B50">
        <w:rPr>
          <w:shd w:val="clear" w:color="auto" w:fill="FFFFFF"/>
        </w:rPr>
        <w:t>commissioning shall include the activities below. A monitoring-based commissioning approach may be used to investigate and evaluate b</w:t>
      </w:r>
      <w:r>
        <w:rPr>
          <w:shd w:val="clear" w:color="auto" w:fill="FFFFFF"/>
        </w:rPr>
        <w:t>uilding systems as part of the r</w:t>
      </w:r>
      <w:r w:rsidRPr="00A52B50">
        <w:rPr>
          <w:shd w:val="clear" w:color="auto" w:fill="FFFFFF"/>
        </w:rPr>
        <w:t>etro</w:t>
      </w:r>
      <w:r w:rsidR="00134260">
        <w:rPr>
          <w:shd w:val="clear" w:color="auto" w:fill="FFFFFF"/>
        </w:rPr>
        <w:t>-</w:t>
      </w:r>
      <w:r w:rsidRPr="00A52B50">
        <w:rPr>
          <w:shd w:val="clear" w:color="auto" w:fill="FFFFFF"/>
        </w:rPr>
        <w:t>commissioning process.</w:t>
      </w:r>
      <w:r w:rsidR="00C20F05">
        <w:rPr>
          <w:shd w:val="clear" w:color="auto" w:fill="FFFFFF"/>
        </w:rPr>
        <w:t xml:space="preserve"> However, while </w:t>
      </w:r>
      <w:r w:rsidR="00C20F05">
        <w:t xml:space="preserve">monitoring based commissioning is an excellent strategy to maintain the persistence of savings generated from a full RCx effort, but it is not a substitute for the RCx. </w:t>
      </w:r>
      <w:r w:rsidRPr="00A52B50">
        <w:rPr>
          <w:shd w:val="clear" w:color="auto" w:fill="FFFFFF"/>
        </w:rPr>
        <w:t xml:space="preserve">   </w:t>
      </w:r>
    </w:p>
    <w:tbl>
      <w:tblPr>
        <w:tblStyle w:val="TableGrid"/>
        <w:tblW w:w="0" w:type="auto"/>
        <w:tblLook w:val="04A0" w:firstRow="1" w:lastRow="0" w:firstColumn="1" w:lastColumn="0" w:noHBand="0" w:noVBand="1"/>
      </w:tblPr>
      <w:tblGrid>
        <w:gridCol w:w="2354"/>
        <w:gridCol w:w="1048"/>
        <w:gridCol w:w="1075"/>
        <w:gridCol w:w="4873"/>
      </w:tblGrid>
      <w:tr w:rsidR="002701C5" w14:paraId="6C601B04" w14:textId="77777777" w:rsidTr="008D0F2B">
        <w:tc>
          <w:tcPr>
            <w:tcW w:w="2393" w:type="dxa"/>
            <w:shd w:val="clear" w:color="auto" w:fill="F2F2F2" w:themeFill="background1" w:themeFillShade="F2"/>
          </w:tcPr>
          <w:p w14:paraId="14911198" w14:textId="77777777" w:rsidR="002701C5" w:rsidRPr="00E6188A" w:rsidRDefault="002701C5" w:rsidP="00E6188A">
            <w:pPr>
              <w:rPr>
                <w:b/>
              </w:rPr>
            </w:pPr>
            <w:r w:rsidRPr="00E6188A">
              <w:rPr>
                <w:b/>
              </w:rPr>
              <w:t>Activity</w:t>
            </w:r>
          </w:p>
        </w:tc>
        <w:tc>
          <w:tcPr>
            <w:tcW w:w="1048" w:type="dxa"/>
            <w:shd w:val="clear" w:color="auto" w:fill="F2F2F2" w:themeFill="background1" w:themeFillShade="F2"/>
          </w:tcPr>
          <w:p w14:paraId="1C5CB0EA" w14:textId="77777777" w:rsidR="002701C5" w:rsidRPr="00E6188A" w:rsidRDefault="002701C5" w:rsidP="00E6188A">
            <w:pPr>
              <w:jc w:val="center"/>
              <w:rPr>
                <w:b/>
              </w:rPr>
            </w:pPr>
            <w:r w:rsidRPr="00E6188A">
              <w:rPr>
                <w:b/>
              </w:rPr>
              <w:t xml:space="preserve">Buildings </w:t>
            </w:r>
            <w:r w:rsidR="00E6188A" w:rsidRPr="00E6188A">
              <w:rPr>
                <w:b/>
                <w:u w:val="single"/>
              </w:rPr>
              <w:t>&gt;</w:t>
            </w:r>
            <w:r w:rsidR="00E6188A" w:rsidRPr="00E6188A">
              <w:rPr>
                <w:b/>
              </w:rPr>
              <w:t xml:space="preserve"> 50,000 sf</w:t>
            </w:r>
          </w:p>
        </w:tc>
        <w:tc>
          <w:tcPr>
            <w:tcW w:w="1077" w:type="dxa"/>
            <w:shd w:val="clear" w:color="auto" w:fill="F2F2F2" w:themeFill="background1" w:themeFillShade="F2"/>
          </w:tcPr>
          <w:p w14:paraId="2AFBB96E" w14:textId="77777777" w:rsidR="002701C5" w:rsidRPr="00E6188A" w:rsidRDefault="00E6188A" w:rsidP="00E6188A">
            <w:pPr>
              <w:jc w:val="center"/>
              <w:rPr>
                <w:b/>
              </w:rPr>
            </w:pPr>
            <w:r w:rsidRPr="00E6188A">
              <w:rPr>
                <w:b/>
              </w:rPr>
              <w:t>Buildings &lt; 50,000 sf</w:t>
            </w:r>
          </w:p>
        </w:tc>
        <w:tc>
          <w:tcPr>
            <w:tcW w:w="5058" w:type="dxa"/>
            <w:shd w:val="clear" w:color="auto" w:fill="F2F2F2" w:themeFill="background1" w:themeFillShade="F2"/>
          </w:tcPr>
          <w:p w14:paraId="16058230" w14:textId="77777777" w:rsidR="002701C5" w:rsidRPr="00E6188A" w:rsidRDefault="00E6188A" w:rsidP="00E6188A">
            <w:pPr>
              <w:rPr>
                <w:b/>
              </w:rPr>
            </w:pPr>
            <w:r w:rsidRPr="00E6188A">
              <w:rPr>
                <w:b/>
              </w:rPr>
              <w:t>Activity Description</w:t>
            </w:r>
          </w:p>
        </w:tc>
      </w:tr>
      <w:tr w:rsidR="00625B78" w14:paraId="07EB74E9" w14:textId="77777777" w:rsidTr="008D0F2B">
        <w:tc>
          <w:tcPr>
            <w:tcW w:w="2393" w:type="dxa"/>
            <w:tcBorders>
              <w:bottom w:val="single" w:sz="4" w:space="0" w:color="auto"/>
            </w:tcBorders>
            <w:vAlign w:val="center"/>
          </w:tcPr>
          <w:p w14:paraId="3DF94F68" w14:textId="77777777" w:rsidR="00625B78" w:rsidRPr="00315CCE" w:rsidRDefault="00625B78" w:rsidP="00526767">
            <w:pPr>
              <w:rPr>
                <w:b/>
              </w:rPr>
            </w:pPr>
            <w:r w:rsidRPr="00315CCE">
              <w:rPr>
                <w:b/>
              </w:rPr>
              <w:t>Develop and RCx Plan</w:t>
            </w:r>
          </w:p>
        </w:tc>
        <w:tc>
          <w:tcPr>
            <w:tcW w:w="1048" w:type="dxa"/>
            <w:tcBorders>
              <w:bottom w:val="single" w:sz="4" w:space="0" w:color="auto"/>
            </w:tcBorders>
            <w:vAlign w:val="center"/>
          </w:tcPr>
          <w:p w14:paraId="20681270" w14:textId="77777777" w:rsidR="00625B78" w:rsidRPr="00A52B50" w:rsidRDefault="00625B78" w:rsidP="00EE38AC">
            <w:pPr>
              <w:jc w:val="center"/>
              <w:rPr>
                <w:rFonts w:ascii="Wingdings 2" w:hAnsi="Wingdings 2" w:cs="Arial"/>
                <w:color w:val="000000"/>
              </w:rPr>
            </w:pPr>
            <w:r w:rsidRPr="00A52B50">
              <w:rPr>
                <w:rFonts w:ascii="Wingdings 2" w:hAnsi="Wingdings 2" w:cs="Arial"/>
                <w:color w:val="000000"/>
              </w:rPr>
              <w:t></w:t>
            </w:r>
          </w:p>
        </w:tc>
        <w:tc>
          <w:tcPr>
            <w:tcW w:w="1077" w:type="dxa"/>
            <w:tcBorders>
              <w:bottom w:val="single" w:sz="4" w:space="0" w:color="auto"/>
            </w:tcBorders>
            <w:vAlign w:val="center"/>
          </w:tcPr>
          <w:p w14:paraId="53981B5E" w14:textId="77777777" w:rsidR="00625B78" w:rsidRPr="00A52B50" w:rsidRDefault="00625B78" w:rsidP="00EE38AC">
            <w:pPr>
              <w:rPr>
                <w:sz w:val="20"/>
              </w:rPr>
            </w:pPr>
          </w:p>
        </w:tc>
        <w:tc>
          <w:tcPr>
            <w:tcW w:w="5058" w:type="dxa"/>
            <w:tcBorders>
              <w:bottom w:val="single" w:sz="4" w:space="0" w:color="auto"/>
            </w:tcBorders>
          </w:tcPr>
          <w:p w14:paraId="0D5EC655" w14:textId="77777777" w:rsidR="00625B78" w:rsidRPr="00FA300A" w:rsidRDefault="00625B78">
            <w:pPr>
              <w:rPr>
                <w:sz w:val="20"/>
                <w:szCs w:val="20"/>
              </w:rPr>
            </w:pPr>
            <w:r w:rsidRPr="00FA300A">
              <w:rPr>
                <w:sz w:val="20"/>
                <w:szCs w:val="20"/>
              </w:rPr>
              <w:t>Develop a plan that outlines the activities, roles and responsibilities, schedule and documentation requirements of the RCx process.</w:t>
            </w:r>
          </w:p>
        </w:tc>
      </w:tr>
      <w:tr w:rsidR="00625B78" w14:paraId="4530A1DF" w14:textId="77777777" w:rsidTr="008D0F2B">
        <w:tc>
          <w:tcPr>
            <w:tcW w:w="2393" w:type="dxa"/>
            <w:shd w:val="clear" w:color="auto" w:fill="F2F2F2" w:themeFill="background1" w:themeFillShade="F2"/>
            <w:vAlign w:val="center"/>
          </w:tcPr>
          <w:p w14:paraId="6EF0D3CD" w14:textId="77777777" w:rsidR="00625B78" w:rsidRPr="00315CCE" w:rsidRDefault="00625B78" w:rsidP="00526767">
            <w:pPr>
              <w:rPr>
                <w:b/>
              </w:rPr>
            </w:pPr>
            <w:r w:rsidRPr="00315CCE">
              <w:rPr>
                <w:b/>
              </w:rPr>
              <w:t>Review and Optimize Equipment Scheduling</w:t>
            </w:r>
          </w:p>
        </w:tc>
        <w:tc>
          <w:tcPr>
            <w:tcW w:w="1048" w:type="dxa"/>
            <w:shd w:val="clear" w:color="auto" w:fill="F2F2F2" w:themeFill="background1" w:themeFillShade="F2"/>
            <w:vAlign w:val="center"/>
          </w:tcPr>
          <w:p w14:paraId="27FA526A" w14:textId="77777777" w:rsidR="00625B78" w:rsidRPr="00A52B50" w:rsidRDefault="00625B78" w:rsidP="00EE38AC">
            <w:pPr>
              <w:jc w:val="center"/>
              <w:rPr>
                <w:rFonts w:ascii="Wingdings 2" w:hAnsi="Wingdings 2" w:cs="Arial"/>
                <w:color w:val="000000"/>
              </w:rPr>
            </w:pPr>
            <w:r w:rsidRPr="00A52B50">
              <w:rPr>
                <w:rFonts w:ascii="Wingdings 2" w:hAnsi="Wingdings 2" w:cs="Arial"/>
                <w:color w:val="000000"/>
              </w:rPr>
              <w:t></w:t>
            </w:r>
          </w:p>
        </w:tc>
        <w:tc>
          <w:tcPr>
            <w:tcW w:w="1077" w:type="dxa"/>
            <w:shd w:val="clear" w:color="auto" w:fill="F2F2F2" w:themeFill="background1" w:themeFillShade="F2"/>
            <w:vAlign w:val="center"/>
          </w:tcPr>
          <w:p w14:paraId="4938788F" w14:textId="77777777" w:rsidR="00625B78" w:rsidRPr="00A52B50" w:rsidRDefault="00625B78" w:rsidP="00EE38AC">
            <w:pPr>
              <w:jc w:val="center"/>
              <w:rPr>
                <w:rFonts w:ascii="Wingdings 2" w:hAnsi="Wingdings 2" w:cs="Arial"/>
                <w:color w:val="000000"/>
              </w:rPr>
            </w:pPr>
            <w:r w:rsidRPr="00A52B50">
              <w:rPr>
                <w:rFonts w:ascii="Wingdings 2" w:hAnsi="Wingdings 2" w:cs="Arial"/>
                <w:color w:val="000000"/>
              </w:rPr>
              <w:t></w:t>
            </w:r>
          </w:p>
        </w:tc>
        <w:tc>
          <w:tcPr>
            <w:tcW w:w="5058" w:type="dxa"/>
            <w:shd w:val="clear" w:color="auto" w:fill="F2F2F2" w:themeFill="background1" w:themeFillShade="F2"/>
          </w:tcPr>
          <w:p w14:paraId="1675EDCD" w14:textId="77777777" w:rsidR="00625B78" w:rsidRPr="00FA300A" w:rsidRDefault="00625B78">
            <w:pPr>
              <w:rPr>
                <w:sz w:val="20"/>
                <w:szCs w:val="20"/>
              </w:rPr>
            </w:pPr>
            <w:r w:rsidRPr="00FA300A">
              <w:rPr>
                <w:sz w:val="20"/>
                <w:szCs w:val="20"/>
              </w:rPr>
              <w:t>Any time of day schedules that are programmed in a building management system (BMS), programmable thermostat or time clock system shall be reviewed and if necessary, corrected to ensure they reflect the current facility requirements.</w:t>
            </w:r>
          </w:p>
        </w:tc>
      </w:tr>
      <w:tr w:rsidR="00625B78" w14:paraId="358AC9BF" w14:textId="77777777" w:rsidTr="008D0F2B">
        <w:tc>
          <w:tcPr>
            <w:tcW w:w="2393" w:type="dxa"/>
            <w:tcBorders>
              <w:bottom w:val="single" w:sz="4" w:space="0" w:color="auto"/>
            </w:tcBorders>
            <w:vAlign w:val="center"/>
          </w:tcPr>
          <w:p w14:paraId="75BEBE07" w14:textId="77777777" w:rsidR="00625B78" w:rsidRPr="00315CCE" w:rsidRDefault="00625B78" w:rsidP="00526767">
            <w:pPr>
              <w:rPr>
                <w:b/>
              </w:rPr>
            </w:pPr>
            <w:r w:rsidRPr="00315CCE">
              <w:rPr>
                <w:b/>
              </w:rPr>
              <w:t>Review BMS Sequence of Operations</w:t>
            </w:r>
          </w:p>
        </w:tc>
        <w:tc>
          <w:tcPr>
            <w:tcW w:w="1048" w:type="dxa"/>
            <w:tcBorders>
              <w:bottom w:val="single" w:sz="4" w:space="0" w:color="auto"/>
            </w:tcBorders>
            <w:vAlign w:val="center"/>
          </w:tcPr>
          <w:p w14:paraId="318D0077" w14:textId="77777777" w:rsidR="00625B78" w:rsidRPr="00A52B50" w:rsidRDefault="00625B78" w:rsidP="00EE38AC">
            <w:pPr>
              <w:jc w:val="center"/>
              <w:rPr>
                <w:rFonts w:ascii="Wingdings 2" w:hAnsi="Wingdings 2" w:cs="Arial"/>
                <w:color w:val="000000"/>
              </w:rPr>
            </w:pPr>
            <w:r w:rsidRPr="00A52B50">
              <w:rPr>
                <w:rFonts w:ascii="Wingdings 2" w:hAnsi="Wingdings 2" w:cs="Arial"/>
                <w:color w:val="000000"/>
              </w:rPr>
              <w:t></w:t>
            </w:r>
          </w:p>
        </w:tc>
        <w:tc>
          <w:tcPr>
            <w:tcW w:w="1077" w:type="dxa"/>
            <w:tcBorders>
              <w:bottom w:val="single" w:sz="4" w:space="0" w:color="auto"/>
            </w:tcBorders>
            <w:vAlign w:val="center"/>
          </w:tcPr>
          <w:p w14:paraId="09579AB1" w14:textId="77777777" w:rsidR="00625B78" w:rsidRPr="00A52B50" w:rsidRDefault="00625B78" w:rsidP="00EE38AC">
            <w:pPr>
              <w:jc w:val="center"/>
              <w:rPr>
                <w:sz w:val="20"/>
              </w:rPr>
            </w:pPr>
            <w:r w:rsidRPr="00A52B50">
              <w:rPr>
                <w:rFonts w:ascii="Wingdings 2" w:hAnsi="Wingdings 2" w:cs="Arial"/>
                <w:color w:val="000000"/>
              </w:rPr>
              <w:t></w:t>
            </w:r>
          </w:p>
        </w:tc>
        <w:tc>
          <w:tcPr>
            <w:tcW w:w="5058" w:type="dxa"/>
            <w:tcBorders>
              <w:bottom w:val="single" w:sz="4" w:space="0" w:color="auto"/>
            </w:tcBorders>
          </w:tcPr>
          <w:p w14:paraId="00D63A64" w14:textId="77777777" w:rsidR="00625B78" w:rsidRPr="00FA300A" w:rsidRDefault="00625B78" w:rsidP="002C2331">
            <w:pPr>
              <w:rPr>
                <w:sz w:val="20"/>
                <w:szCs w:val="20"/>
              </w:rPr>
            </w:pPr>
            <w:r w:rsidRPr="00FA300A">
              <w:rPr>
                <w:sz w:val="20"/>
                <w:szCs w:val="20"/>
              </w:rPr>
              <w:t>The current BMS sequence of operations shall be reviewed to ensure they are appropriate for the current facility requirements.</w:t>
            </w:r>
          </w:p>
        </w:tc>
      </w:tr>
      <w:tr w:rsidR="00E6188A" w14:paraId="501C4BD2" w14:textId="77777777" w:rsidTr="008D0F2B">
        <w:tc>
          <w:tcPr>
            <w:tcW w:w="2393" w:type="dxa"/>
            <w:shd w:val="clear" w:color="auto" w:fill="F2F2F2" w:themeFill="background1" w:themeFillShade="F2"/>
            <w:vAlign w:val="center"/>
          </w:tcPr>
          <w:p w14:paraId="286A7FCD" w14:textId="77777777" w:rsidR="00E6188A" w:rsidRPr="00315CCE" w:rsidRDefault="002C2331" w:rsidP="00526767">
            <w:pPr>
              <w:rPr>
                <w:b/>
              </w:rPr>
            </w:pPr>
            <w:r w:rsidRPr="00315CCE">
              <w:rPr>
                <w:b/>
              </w:rPr>
              <w:t>Review BMS Temperature, Pressure and Airflow Setpoints</w:t>
            </w:r>
          </w:p>
        </w:tc>
        <w:tc>
          <w:tcPr>
            <w:tcW w:w="1048" w:type="dxa"/>
            <w:shd w:val="clear" w:color="auto" w:fill="F2F2F2" w:themeFill="background1" w:themeFillShade="F2"/>
            <w:vAlign w:val="center"/>
          </w:tcPr>
          <w:p w14:paraId="18B5B17E" w14:textId="77777777" w:rsidR="00E6188A" w:rsidRPr="00942944" w:rsidRDefault="00E6188A" w:rsidP="006E73F1">
            <w:pPr>
              <w:pStyle w:val="ListParagraph"/>
              <w:numPr>
                <w:ilvl w:val="0"/>
                <w:numId w:val="10"/>
              </w:numPr>
              <w:rPr>
                <w:b/>
              </w:rPr>
            </w:pPr>
          </w:p>
        </w:tc>
        <w:tc>
          <w:tcPr>
            <w:tcW w:w="1077" w:type="dxa"/>
            <w:shd w:val="clear" w:color="auto" w:fill="F2F2F2" w:themeFill="background1" w:themeFillShade="F2"/>
            <w:vAlign w:val="center"/>
          </w:tcPr>
          <w:p w14:paraId="0D66F655" w14:textId="77777777" w:rsidR="00E6188A" w:rsidRPr="00942944" w:rsidRDefault="00625B78" w:rsidP="00625B78">
            <w:pPr>
              <w:jc w:val="center"/>
              <w:rPr>
                <w:b/>
              </w:rPr>
            </w:pPr>
            <w:r w:rsidRPr="00A52B50">
              <w:rPr>
                <w:rFonts w:ascii="Wingdings 2" w:hAnsi="Wingdings 2" w:cs="Arial"/>
                <w:color w:val="000000"/>
              </w:rPr>
              <w:t></w:t>
            </w:r>
          </w:p>
        </w:tc>
        <w:tc>
          <w:tcPr>
            <w:tcW w:w="5058" w:type="dxa"/>
            <w:shd w:val="clear" w:color="auto" w:fill="F2F2F2" w:themeFill="background1" w:themeFillShade="F2"/>
          </w:tcPr>
          <w:p w14:paraId="4204E043" w14:textId="77777777" w:rsidR="00E6188A" w:rsidRPr="00FA300A" w:rsidRDefault="002C2331">
            <w:pPr>
              <w:rPr>
                <w:sz w:val="20"/>
                <w:szCs w:val="20"/>
              </w:rPr>
            </w:pPr>
            <w:r w:rsidRPr="00FA300A">
              <w:rPr>
                <w:sz w:val="20"/>
                <w:szCs w:val="20"/>
              </w:rPr>
              <w:t xml:space="preserve">The current BMS setpoints shall be reviewed to ensure they reflect the sequence of operations and current facility requirements. If needed, adjust the setpoints to meet the current facility requirements. </w:t>
            </w:r>
          </w:p>
        </w:tc>
      </w:tr>
      <w:tr w:rsidR="00E6188A" w14:paraId="279B840D" w14:textId="77777777" w:rsidTr="008D0F2B">
        <w:tc>
          <w:tcPr>
            <w:tcW w:w="2393" w:type="dxa"/>
            <w:tcBorders>
              <w:bottom w:val="single" w:sz="4" w:space="0" w:color="auto"/>
            </w:tcBorders>
            <w:vAlign w:val="center"/>
          </w:tcPr>
          <w:p w14:paraId="68959D30" w14:textId="77777777" w:rsidR="00E6188A" w:rsidRPr="00315CCE" w:rsidRDefault="00942944" w:rsidP="00526767">
            <w:pPr>
              <w:rPr>
                <w:b/>
              </w:rPr>
            </w:pPr>
            <w:r w:rsidRPr="00315CCE">
              <w:rPr>
                <w:b/>
              </w:rPr>
              <w:t>Test BMS Automatic Reset Functionality</w:t>
            </w:r>
          </w:p>
        </w:tc>
        <w:tc>
          <w:tcPr>
            <w:tcW w:w="1048" w:type="dxa"/>
            <w:tcBorders>
              <w:bottom w:val="single" w:sz="4" w:space="0" w:color="auto"/>
            </w:tcBorders>
            <w:vAlign w:val="center"/>
          </w:tcPr>
          <w:p w14:paraId="4EBC3BD7" w14:textId="77777777" w:rsidR="00E6188A" w:rsidRPr="00942944" w:rsidRDefault="00E6188A" w:rsidP="006E73F1">
            <w:pPr>
              <w:pStyle w:val="ListParagraph"/>
              <w:numPr>
                <w:ilvl w:val="0"/>
                <w:numId w:val="10"/>
              </w:numPr>
              <w:rPr>
                <w:b/>
              </w:rPr>
            </w:pPr>
          </w:p>
        </w:tc>
        <w:tc>
          <w:tcPr>
            <w:tcW w:w="1077" w:type="dxa"/>
            <w:tcBorders>
              <w:bottom w:val="single" w:sz="4" w:space="0" w:color="auto"/>
            </w:tcBorders>
            <w:vAlign w:val="center"/>
          </w:tcPr>
          <w:p w14:paraId="2650752F" w14:textId="77777777" w:rsidR="00E6188A" w:rsidRPr="00942944" w:rsidRDefault="00625B78" w:rsidP="00625B78">
            <w:pPr>
              <w:jc w:val="center"/>
              <w:rPr>
                <w:b/>
              </w:rPr>
            </w:pPr>
            <w:r w:rsidRPr="00A52B50">
              <w:rPr>
                <w:rFonts w:ascii="Wingdings 2" w:hAnsi="Wingdings 2" w:cs="Arial"/>
                <w:color w:val="000000"/>
              </w:rPr>
              <w:t></w:t>
            </w:r>
          </w:p>
        </w:tc>
        <w:tc>
          <w:tcPr>
            <w:tcW w:w="5058" w:type="dxa"/>
            <w:tcBorders>
              <w:bottom w:val="single" w:sz="4" w:space="0" w:color="auto"/>
            </w:tcBorders>
          </w:tcPr>
          <w:p w14:paraId="77AC49E3" w14:textId="77777777" w:rsidR="00E6188A" w:rsidRPr="00FA300A" w:rsidRDefault="00942944">
            <w:pPr>
              <w:rPr>
                <w:sz w:val="20"/>
                <w:szCs w:val="20"/>
              </w:rPr>
            </w:pPr>
            <w:r w:rsidRPr="00FA300A">
              <w:rPr>
                <w:sz w:val="20"/>
                <w:szCs w:val="20"/>
              </w:rPr>
              <w:t>Any automatic reset function that is currently programmed in the building management system shall be tested to confirm proper operation per the sequence of operations. An automatic reset function may include but is not limited to supply air temperature reset, static pressure reset, and chilled water supply temperature reset.</w:t>
            </w:r>
          </w:p>
        </w:tc>
      </w:tr>
      <w:tr w:rsidR="00E6188A" w14:paraId="08B87956" w14:textId="77777777" w:rsidTr="008D0F2B">
        <w:tc>
          <w:tcPr>
            <w:tcW w:w="2393" w:type="dxa"/>
            <w:shd w:val="clear" w:color="auto" w:fill="F2F2F2" w:themeFill="background1" w:themeFillShade="F2"/>
            <w:vAlign w:val="center"/>
          </w:tcPr>
          <w:p w14:paraId="1425A07F" w14:textId="77777777" w:rsidR="00E6188A" w:rsidRPr="00315CCE" w:rsidRDefault="00315CCE" w:rsidP="00526767">
            <w:pPr>
              <w:rPr>
                <w:b/>
              </w:rPr>
            </w:pPr>
            <w:r w:rsidRPr="00315CCE">
              <w:rPr>
                <w:b/>
              </w:rPr>
              <w:lastRenderedPageBreak/>
              <w:t>Pre-functional Checks on All Major Equipment</w:t>
            </w:r>
          </w:p>
        </w:tc>
        <w:tc>
          <w:tcPr>
            <w:tcW w:w="1048" w:type="dxa"/>
            <w:shd w:val="clear" w:color="auto" w:fill="F2F2F2" w:themeFill="background1" w:themeFillShade="F2"/>
            <w:vAlign w:val="center"/>
          </w:tcPr>
          <w:p w14:paraId="028ADD57" w14:textId="77777777" w:rsidR="00E6188A" w:rsidRPr="00315CCE" w:rsidRDefault="00E6188A" w:rsidP="006E73F1">
            <w:pPr>
              <w:pStyle w:val="ListParagraph"/>
              <w:numPr>
                <w:ilvl w:val="0"/>
                <w:numId w:val="10"/>
              </w:numPr>
              <w:rPr>
                <w:b/>
              </w:rPr>
            </w:pPr>
          </w:p>
        </w:tc>
        <w:tc>
          <w:tcPr>
            <w:tcW w:w="1077" w:type="dxa"/>
            <w:shd w:val="clear" w:color="auto" w:fill="F2F2F2" w:themeFill="background1" w:themeFillShade="F2"/>
            <w:vAlign w:val="center"/>
          </w:tcPr>
          <w:p w14:paraId="245A04BC" w14:textId="77777777" w:rsidR="00E6188A" w:rsidRPr="00942944" w:rsidRDefault="00E6188A" w:rsidP="00526767">
            <w:pPr>
              <w:rPr>
                <w:b/>
              </w:rPr>
            </w:pPr>
          </w:p>
        </w:tc>
        <w:tc>
          <w:tcPr>
            <w:tcW w:w="5058" w:type="dxa"/>
            <w:shd w:val="clear" w:color="auto" w:fill="F2F2F2" w:themeFill="background1" w:themeFillShade="F2"/>
          </w:tcPr>
          <w:p w14:paraId="2C7467A2" w14:textId="77777777" w:rsidR="00E6188A" w:rsidRPr="00FA300A" w:rsidRDefault="00315CCE">
            <w:pPr>
              <w:rPr>
                <w:sz w:val="20"/>
                <w:szCs w:val="20"/>
              </w:rPr>
            </w:pPr>
            <w:r w:rsidRPr="00FA300A">
              <w:rPr>
                <w:sz w:val="20"/>
                <w:szCs w:val="20"/>
              </w:rPr>
              <w:t>Visually check all equipment identified in the RCx plan as ones to be functionally tested to ensure proper equipment and component assemblies are in proper condition and sensors are properly calibrated.</w:t>
            </w:r>
          </w:p>
        </w:tc>
      </w:tr>
      <w:tr w:rsidR="00E6188A" w14:paraId="103B3BF1" w14:textId="77777777" w:rsidTr="008D0F2B">
        <w:tc>
          <w:tcPr>
            <w:tcW w:w="2393" w:type="dxa"/>
            <w:tcBorders>
              <w:bottom w:val="single" w:sz="4" w:space="0" w:color="auto"/>
            </w:tcBorders>
            <w:vAlign w:val="center"/>
          </w:tcPr>
          <w:p w14:paraId="281396A9" w14:textId="77777777" w:rsidR="00E6188A" w:rsidRPr="00315CCE" w:rsidRDefault="00F140EF" w:rsidP="00526767">
            <w:pPr>
              <w:rPr>
                <w:b/>
              </w:rPr>
            </w:pPr>
            <w:r>
              <w:rPr>
                <w:b/>
              </w:rPr>
              <w:t>Comprehensive Functional Testing on All Major Base Building Equipment</w:t>
            </w:r>
          </w:p>
        </w:tc>
        <w:tc>
          <w:tcPr>
            <w:tcW w:w="1048" w:type="dxa"/>
            <w:tcBorders>
              <w:bottom w:val="single" w:sz="4" w:space="0" w:color="auto"/>
            </w:tcBorders>
            <w:vAlign w:val="center"/>
          </w:tcPr>
          <w:p w14:paraId="128790A3" w14:textId="77777777" w:rsidR="00E6188A" w:rsidRPr="00F140EF" w:rsidRDefault="00E6188A" w:rsidP="006E73F1">
            <w:pPr>
              <w:pStyle w:val="ListParagraph"/>
              <w:numPr>
                <w:ilvl w:val="0"/>
                <w:numId w:val="10"/>
              </w:numPr>
              <w:rPr>
                <w:b/>
              </w:rPr>
            </w:pPr>
          </w:p>
        </w:tc>
        <w:tc>
          <w:tcPr>
            <w:tcW w:w="1077" w:type="dxa"/>
            <w:tcBorders>
              <w:bottom w:val="single" w:sz="4" w:space="0" w:color="auto"/>
            </w:tcBorders>
            <w:vAlign w:val="center"/>
          </w:tcPr>
          <w:p w14:paraId="75C47C60" w14:textId="77777777" w:rsidR="00E6188A" w:rsidRPr="00942944" w:rsidRDefault="00E6188A" w:rsidP="00526767">
            <w:pPr>
              <w:rPr>
                <w:b/>
              </w:rPr>
            </w:pPr>
          </w:p>
        </w:tc>
        <w:tc>
          <w:tcPr>
            <w:tcW w:w="5058" w:type="dxa"/>
            <w:tcBorders>
              <w:bottom w:val="single" w:sz="4" w:space="0" w:color="auto"/>
            </w:tcBorders>
          </w:tcPr>
          <w:p w14:paraId="0DE473CD" w14:textId="77777777" w:rsidR="00E6188A" w:rsidRPr="00FA300A" w:rsidRDefault="00F140EF" w:rsidP="00F140EF">
            <w:pPr>
              <w:rPr>
                <w:sz w:val="20"/>
                <w:szCs w:val="20"/>
              </w:rPr>
            </w:pPr>
            <w:r w:rsidRPr="00FA300A">
              <w:rPr>
                <w:sz w:val="20"/>
                <w:szCs w:val="20"/>
              </w:rPr>
              <w:t>Perform functional testing on all major Base Building Systems to verify the sequence of operations and proper component functionality to include but not be limited to damper and valve actuation, motor modulation, on/off commands, lighting occupancy sensors and controls, etc.</w:t>
            </w:r>
          </w:p>
        </w:tc>
      </w:tr>
      <w:tr w:rsidR="00E6188A" w14:paraId="21ADF0BF" w14:textId="77777777" w:rsidTr="008D0F2B">
        <w:tc>
          <w:tcPr>
            <w:tcW w:w="2393" w:type="dxa"/>
            <w:shd w:val="clear" w:color="auto" w:fill="F2F2F2" w:themeFill="background1" w:themeFillShade="F2"/>
            <w:vAlign w:val="center"/>
          </w:tcPr>
          <w:p w14:paraId="4B77566E" w14:textId="77777777" w:rsidR="00E6188A" w:rsidRPr="00315CCE" w:rsidRDefault="00F140EF" w:rsidP="00526767">
            <w:pPr>
              <w:rPr>
                <w:b/>
              </w:rPr>
            </w:pPr>
            <w:r>
              <w:rPr>
                <w:b/>
              </w:rPr>
              <w:t>Boiler Combustions Testing</w:t>
            </w:r>
          </w:p>
        </w:tc>
        <w:tc>
          <w:tcPr>
            <w:tcW w:w="1048" w:type="dxa"/>
            <w:shd w:val="clear" w:color="auto" w:fill="F2F2F2" w:themeFill="background1" w:themeFillShade="F2"/>
            <w:vAlign w:val="center"/>
          </w:tcPr>
          <w:p w14:paraId="3C3B978C" w14:textId="77777777" w:rsidR="00E6188A" w:rsidRPr="00F140EF" w:rsidRDefault="00E6188A" w:rsidP="006E73F1">
            <w:pPr>
              <w:pStyle w:val="ListParagraph"/>
              <w:numPr>
                <w:ilvl w:val="0"/>
                <w:numId w:val="10"/>
              </w:numPr>
              <w:rPr>
                <w:b/>
              </w:rPr>
            </w:pPr>
          </w:p>
        </w:tc>
        <w:tc>
          <w:tcPr>
            <w:tcW w:w="1077" w:type="dxa"/>
            <w:shd w:val="clear" w:color="auto" w:fill="F2F2F2" w:themeFill="background1" w:themeFillShade="F2"/>
            <w:vAlign w:val="center"/>
          </w:tcPr>
          <w:p w14:paraId="5531AAAD" w14:textId="77777777" w:rsidR="00E6188A" w:rsidRPr="00942944" w:rsidRDefault="00E6188A" w:rsidP="00526767">
            <w:pPr>
              <w:rPr>
                <w:b/>
              </w:rPr>
            </w:pPr>
          </w:p>
        </w:tc>
        <w:tc>
          <w:tcPr>
            <w:tcW w:w="5058" w:type="dxa"/>
            <w:shd w:val="clear" w:color="auto" w:fill="F2F2F2" w:themeFill="background1" w:themeFillShade="F2"/>
          </w:tcPr>
          <w:p w14:paraId="6D6DA05D" w14:textId="77777777" w:rsidR="00E6188A" w:rsidRPr="00FA300A" w:rsidRDefault="00F140EF" w:rsidP="00F140EF">
            <w:pPr>
              <w:rPr>
                <w:sz w:val="20"/>
                <w:szCs w:val="20"/>
              </w:rPr>
            </w:pPr>
            <w:r w:rsidRPr="00FA300A">
              <w:rPr>
                <w:sz w:val="20"/>
                <w:szCs w:val="20"/>
              </w:rPr>
              <w:t>A combustion efficiency test shall be conducted for each boiler serving a Base Building System.</w:t>
            </w:r>
          </w:p>
        </w:tc>
      </w:tr>
      <w:tr w:rsidR="00E6188A" w14:paraId="18E340FC" w14:textId="77777777" w:rsidTr="008D0F2B">
        <w:tc>
          <w:tcPr>
            <w:tcW w:w="2393" w:type="dxa"/>
            <w:tcBorders>
              <w:bottom w:val="single" w:sz="4" w:space="0" w:color="auto"/>
            </w:tcBorders>
            <w:vAlign w:val="center"/>
          </w:tcPr>
          <w:p w14:paraId="28F984AA" w14:textId="77777777" w:rsidR="00E6188A" w:rsidRPr="00315CCE" w:rsidRDefault="00FA300A" w:rsidP="00526767">
            <w:pPr>
              <w:rPr>
                <w:b/>
              </w:rPr>
            </w:pPr>
            <w:r>
              <w:rPr>
                <w:b/>
              </w:rPr>
              <w:t>Review Economizer Functionality</w:t>
            </w:r>
          </w:p>
        </w:tc>
        <w:tc>
          <w:tcPr>
            <w:tcW w:w="1048" w:type="dxa"/>
            <w:tcBorders>
              <w:bottom w:val="single" w:sz="4" w:space="0" w:color="auto"/>
            </w:tcBorders>
            <w:vAlign w:val="center"/>
          </w:tcPr>
          <w:p w14:paraId="076326DB" w14:textId="77777777" w:rsidR="00E6188A" w:rsidRPr="00FA300A" w:rsidRDefault="00E6188A" w:rsidP="006E73F1">
            <w:pPr>
              <w:pStyle w:val="ListParagraph"/>
              <w:numPr>
                <w:ilvl w:val="0"/>
                <w:numId w:val="10"/>
              </w:numPr>
              <w:rPr>
                <w:b/>
              </w:rPr>
            </w:pPr>
          </w:p>
        </w:tc>
        <w:tc>
          <w:tcPr>
            <w:tcW w:w="1077" w:type="dxa"/>
            <w:tcBorders>
              <w:bottom w:val="single" w:sz="4" w:space="0" w:color="auto"/>
            </w:tcBorders>
            <w:vAlign w:val="center"/>
          </w:tcPr>
          <w:p w14:paraId="01D662C6" w14:textId="77777777" w:rsidR="00E6188A" w:rsidRPr="00FA300A" w:rsidRDefault="00E6188A" w:rsidP="006E73F1">
            <w:pPr>
              <w:pStyle w:val="ListParagraph"/>
              <w:numPr>
                <w:ilvl w:val="0"/>
                <w:numId w:val="10"/>
              </w:numPr>
              <w:rPr>
                <w:b/>
              </w:rPr>
            </w:pPr>
          </w:p>
        </w:tc>
        <w:tc>
          <w:tcPr>
            <w:tcW w:w="5058" w:type="dxa"/>
            <w:tcBorders>
              <w:bottom w:val="single" w:sz="4" w:space="0" w:color="auto"/>
            </w:tcBorders>
          </w:tcPr>
          <w:p w14:paraId="1897F6C9" w14:textId="77777777" w:rsidR="00E6188A" w:rsidRPr="00FA300A" w:rsidRDefault="00FA300A">
            <w:pPr>
              <w:rPr>
                <w:sz w:val="20"/>
                <w:szCs w:val="20"/>
              </w:rPr>
            </w:pPr>
            <w:r w:rsidRPr="00FA300A">
              <w:rPr>
                <w:sz w:val="20"/>
                <w:szCs w:val="20"/>
              </w:rPr>
              <w:t>If economizer functionality exists and is included in the sequence of operations, perform functional testing to verify proper operation during economizer conditions including proper damper controls. If economizer is not functioning properly, adjust sequence of operations and setpoints, adjust and/or repair damper linkage and actuator motors for proper operation and current facility requirements.</w:t>
            </w:r>
          </w:p>
        </w:tc>
      </w:tr>
      <w:tr w:rsidR="00E6188A" w14:paraId="1F62E448" w14:textId="77777777" w:rsidTr="008D0F2B">
        <w:tc>
          <w:tcPr>
            <w:tcW w:w="2393" w:type="dxa"/>
            <w:shd w:val="clear" w:color="auto" w:fill="F2F2F2" w:themeFill="background1" w:themeFillShade="F2"/>
            <w:vAlign w:val="center"/>
          </w:tcPr>
          <w:p w14:paraId="6140C45C" w14:textId="77777777" w:rsidR="00E6188A" w:rsidRPr="00315CCE" w:rsidRDefault="000D5B4E" w:rsidP="00526767">
            <w:pPr>
              <w:rPr>
                <w:b/>
              </w:rPr>
            </w:pPr>
            <w:r>
              <w:rPr>
                <w:b/>
              </w:rPr>
              <w:t>Sensor Calibration Checks (All Critical Sensors)</w:t>
            </w:r>
          </w:p>
        </w:tc>
        <w:tc>
          <w:tcPr>
            <w:tcW w:w="1048" w:type="dxa"/>
            <w:shd w:val="clear" w:color="auto" w:fill="F2F2F2" w:themeFill="background1" w:themeFillShade="F2"/>
            <w:vAlign w:val="center"/>
          </w:tcPr>
          <w:p w14:paraId="0CB9DBD6" w14:textId="77777777" w:rsidR="00E6188A" w:rsidRPr="000D5B4E" w:rsidRDefault="00E6188A" w:rsidP="006E73F1">
            <w:pPr>
              <w:pStyle w:val="ListParagraph"/>
              <w:numPr>
                <w:ilvl w:val="0"/>
                <w:numId w:val="10"/>
              </w:numPr>
              <w:rPr>
                <w:b/>
              </w:rPr>
            </w:pPr>
          </w:p>
        </w:tc>
        <w:tc>
          <w:tcPr>
            <w:tcW w:w="1077" w:type="dxa"/>
            <w:shd w:val="clear" w:color="auto" w:fill="F2F2F2" w:themeFill="background1" w:themeFillShade="F2"/>
            <w:vAlign w:val="center"/>
          </w:tcPr>
          <w:p w14:paraId="51334F1F" w14:textId="77777777" w:rsidR="00E6188A" w:rsidRPr="00942944" w:rsidRDefault="00E6188A" w:rsidP="00526767">
            <w:pPr>
              <w:rPr>
                <w:b/>
              </w:rPr>
            </w:pPr>
          </w:p>
        </w:tc>
        <w:tc>
          <w:tcPr>
            <w:tcW w:w="5058" w:type="dxa"/>
            <w:shd w:val="clear" w:color="auto" w:fill="F2F2F2" w:themeFill="background1" w:themeFillShade="F2"/>
          </w:tcPr>
          <w:p w14:paraId="386F42CF" w14:textId="77777777" w:rsidR="00E6188A" w:rsidRPr="00FA300A" w:rsidRDefault="000D5B4E">
            <w:pPr>
              <w:rPr>
                <w:sz w:val="20"/>
                <w:szCs w:val="20"/>
              </w:rPr>
            </w:pPr>
            <w:r>
              <w:rPr>
                <w:sz w:val="20"/>
                <w:szCs w:val="20"/>
              </w:rPr>
              <w:t xml:space="preserve">Each critical sensor that is part of an HVAC control sequence </w:t>
            </w:r>
            <w:r w:rsidR="00526767">
              <w:rPr>
                <w:sz w:val="20"/>
                <w:szCs w:val="20"/>
              </w:rPr>
              <w:t>shall be tested to ensure proper calibration. For each sensor that is out of calibration, recalibrate or replace this sensor.</w:t>
            </w:r>
          </w:p>
        </w:tc>
      </w:tr>
      <w:tr w:rsidR="00526767" w:rsidRPr="00FA300A" w14:paraId="7DF96F4D" w14:textId="77777777" w:rsidTr="008D0F2B">
        <w:tc>
          <w:tcPr>
            <w:tcW w:w="2393" w:type="dxa"/>
            <w:tcBorders>
              <w:bottom w:val="single" w:sz="4" w:space="0" w:color="auto"/>
            </w:tcBorders>
            <w:vAlign w:val="center"/>
          </w:tcPr>
          <w:p w14:paraId="2FDC52E8" w14:textId="77777777" w:rsidR="00526767" w:rsidRPr="00315CCE" w:rsidRDefault="00526767" w:rsidP="00526767">
            <w:pPr>
              <w:rPr>
                <w:b/>
              </w:rPr>
            </w:pPr>
            <w:r>
              <w:rPr>
                <w:b/>
              </w:rPr>
              <w:t>Sensor Calibration Checks (OAT &amp; RAT Only)</w:t>
            </w:r>
          </w:p>
        </w:tc>
        <w:tc>
          <w:tcPr>
            <w:tcW w:w="1048" w:type="dxa"/>
            <w:tcBorders>
              <w:bottom w:val="single" w:sz="4" w:space="0" w:color="auto"/>
            </w:tcBorders>
            <w:vAlign w:val="center"/>
          </w:tcPr>
          <w:p w14:paraId="32656353" w14:textId="77777777" w:rsidR="00526767" w:rsidRPr="00942944" w:rsidRDefault="00526767" w:rsidP="00526767">
            <w:pPr>
              <w:jc w:val="center"/>
              <w:rPr>
                <w:b/>
              </w:rPr>
            </w:pPr>
          </w:p>
        </w:tc>
        <w:tc>
          <w:tcPr>
            <w:tcW w:w="1077" w:type="dxa"/>
            <w:tcBorders>
              <w:bottom w:val="single" w:sz="4" w:space="0" w:color="auto"/>
            </w:tcBorders>
            <w:vAlign w:val="center"/>
          </w:tcPr>
          <w:p w14:paraId="76A04735" w14:textId="77777777" w:rsidR="00526767" w:rsidRPr="00526767" w:rsidRDefault="00526767" w:rsidP="006E73F1">
            <w:pPr>
              <w:pStyle w:val="ListParagraph"/>
              <w:numPr>
                <w:ilvl w:val="0"/>
                <w:numId w:val="10"/>
              </w:numPr>
              <w:jc w:val="center"/>
              <w:rPr>
                <w:b/>
              </w:rPr>
            </w:pPr>
          </w:p>
        </w:tc>
        <w:tc>
          <w:tcPr>
            <w:tcW w:w="5058" w:type="dxa"/>
            <w:tcBorders>
              <w:bottom w:val="single" w:sz="4" w:space="0" w:color="auto"/>
            </w:tcBorders>
          </w:tcPr>
          <w:p w14:paraId="7DD8B735" w14:textId="77777777" w:rsidR="00526767" w:rsidRPr="00FA300A" w:rsidRDefault="00526767" w:rsidP="006D5503">
            <w:pPr>
              <w:rPr>
                <w:sz w:val="20"/>
                <w:szCs w:val="20"/>
              </w:rPr>
            </w:pPr>
            <w:r>
              <w:rPr>
                <w:sz w:val="20"/>
                <w:szCs w:val="20"/>
              </w:rPr>
              <w:t>All outside air temperature (OAT) sensors and return air temperature (RAT) sensors that are part of an HVAC control sequence shall be tested to ensure proper calibration. For each sensor that is out of calibration, recalibrate or replace the sensor.</w:t>
            </w:r>
          </w:p>
        </w:tc>
      </w:tr>
      <w:tr w:rsidR="00526767" w:rsidRPr="00FA300A" w14:paraId="5E8C5F69" w14:textId="77777777" w:rsidTr="008D0F2B">
        <w:tc>
          <w:tcPr>
            <w:tcW w:w="2393" w:type="dxa"/>
            <w:shd w:val="clear" w:color="auto" w:fill="F2F2F2" w:themeFill="background1" w:themeFillShade="F2"/>
            <w:vAlign w:val="center"/>
          </w:tcPr>
          <w:p w14:paraId="652FD156" w14:textId="77777777" w:rsidR="00526767" w:rsidRPr="00315CCE" w:rsidRDefault="00526767" w:rsidP="00526767">
            <w:pPr>
              <w:rPr>
                <w:b/>
              </w:rPr>
            </w:pPr>
            <w:r>
              <w:rPr>
                <w:b/>
              </w:rPr>
              <w:t>Check Coils for Cleanliness</w:t>
            </w:r>
          </w:p>
        </w:tc>
        <w:tc>
          <w:tcPr>
            <w:tcW w:w="1048" w:type="dxa"/>
            <w:shd w:val="clear" w:color="auto" w:fill="F2F2F2" w:themeFill="background1" w:themeFillShade="F2"/>
            <w:vAlign w:val="center"/>
          </w:tcPr>
          <w:p w14:paraId="767EAD86" w14:textId="77777777" w:rsidR="00526767" w:rsidRPr="00526767" w:rsidRDefault="00526767" w:rsidP="006E73F1">
            <w:pPr>
              <w:pStyle w:val="ListParagraph"/>
              <w:numPr>
                <w:ilvl w:val="0"/>
                <w:numId w:val="10"/>
              </w:numPr>
              <w:jc w:val="center"/>
              <w:rPr>
                <w:b/>
              </w:rPr>
            </w:pPr>
          </w:p>
        </w:tc>
        <w:tc>
          <w:tcPr>
            <w:tcW w:w="1077" w:type="dxa"/>
            <w:shd w:val="clear" w:color="auto" w:fill="F2F2F2" w:themeFill="background1" w:themeFillShade="F2"/>
            <w:vAlign w:val="center"/>
          </w:tcPr>
          <w:p w14:paraId="74D3F359" w14:textId="77777777" w:rsidR="00526767" w:rsidRPr="00526767" w:rsidRDefault="00526767" w:rsidP="006E73F1">
            <w:pPr>
              <w:pStyle w:val="ListParagraph"/>
              <w:numPr>
                <w:ilvl w:val="0"/>
                <w:numId w:val="10"/>
              </w:numPr>
              <w:jc w:val="center"/>
              <w:rPr>
                <w:b/>
              </w:rPr>
            </w:pPr>
          </w:p>
        </w:tc>
        <w:tc>
          <w:tcPr>
            <w:tcW w:w="5058" w:type="dxa"/>
            <w:shd w:val="clear" w:color="auto" w:fill="F2F2F2" w:themeFill="background1" w:themeFillShade="F2"/>
          </w:tcPr>
          <w:p w14:paraId="022B9F56" w14:textId="77777777" w:rsidR="00526767" w:rsidRPr="00FA300A" w:rsidRDefault="00526767" w:rsidP="006D5503">
            <w:pPr>
              <w:rPr>
                <w:sz w:val="20"/>
                <w:szCs w:val="20"/>
              </w:rPr>
            </w:pPr>
            <w:r>
              <w:rPr>
                <w:sz w:val="20"/>
                <w:szCs w:val="20"/>
              </w:rPr>
              <w:t>Visually inspect hot water, chilled water, steam and DX coils for cleanliness. If coils are visually loaded, clean all coils as appropriate.</w:t>
            </w:r>
          </w:p>
        </w:tc>
      </w:tr>
      <w:tr w:rsidR="00526767" w:rsidRPr="00FA300A" w14:paraId="1D210F5C" w14:textId="77777777" w:rsidTr="008D0F2B">
        <w:tc>
          <w:tcPr>
            <w:tcW w:w="2393" w:type="dxa"/>
            <w:tcBorders>
              <w:bottom w:val="single" w:sz="4" w:space="0" w:color="auto"/>
            </w:tcBorders>
            <w:vAlign w:val="center"/>
          </w:tcPr>
          <w:p w14:paraId="4A352FB0" w14:textId="77777777" w:rsidR="00526767" w:rsidRPr="00315CCE" w:rsidRDefault="00526767" w:rsidP="00526767">
            <w:pPr>
              <w:rPr>
                <w:b/>
              </w:rPr>
            </w:pPr>
            <w:r>
              <w:rPr>
                <w:b/>
              </w:rPr>
              <w:t>Boiler/Furnace Tune-Up</w:t>
            </w:r>
          </w:p>
        </w:tc>
        <w:tc>
          <w:tcPr>
            <w:tcW w:w="1048" w:type="dxa"/>
            <w:tcBorders>
              <w:bottom w:val="single" w:sz="4" w:space="0" w:color="auto"/>
            </w:tcBorders>
            <w:vAlign w:val="center"/>
          </w:tcPr>
          <w:p w14:paraId="75735D08" w14:textId="77777777" w:rsidR="00526767" w:rsidRPr="00526767" w:rsidRDefault="00526767" w:rsidP="006E73F1">
            <w:pPr>
              <w:pStyle w:val="ListParagraph"/>
              <w:numPr>
                <w:ilvl w:val="0"/>
                <w:numId w:val="10"/>
              </w:numPr>
              <w:jc w:val="center"/>
              <w:rPr>
                <w:b/>
              </w:rPr>
            </w:pPr>
          </w:p>
        </w:tc>
        <w:tc>
          <w:tcPr>
            <w:tcW w:w="1077" w:type="dxa"/>
            <w:tcBorders>
              <w:bottom w:val="single" w:sz="4" w:space="0" w:color="auto"/>
            </w:tcBorders>
            <w:vAlign w:val="center"/>
          </w:tcPr>
          <w:p w14:paraId="65C503E6" w14:textId="77777777" w:rsidR="00526767" w:rsidRPr="00526767" w:rsidRDefault="00526767" w:rsidP="006E73F1">
            <w:pPr>
              <w:pStyle w:val="ListParagraph"/>
              <w:numPr>
                <w:ilvl w:val="0"/>
                <w:numId w:val="10"/>
              </w:numPr>
              <w:jc w:val="center"/>
              <w:rPr>
                <w:b/>
              </w:rPr>
            </w:pPr>
          </w:p>
        </w:tc>
        <w:tc>
          <w:tcPr>
            <w:tcW w:w="5058" w:type="dxa"/>
            <w:tcBorders>
              <w:bottom w:val="single" w:sz="4" w:space="0" w:color="auto"/>
            </w:tcBorders>
          </w:tcPr>
          <w:p w14:paraId="52338278" w14:textId="77777777" w:rsidR="00526767" w:rsidRPr="00FA300A" w:rsidRDefault="00526767" w:rsidP="006D5503">
            <w:pPr>
              <w:rPr>
                <w:sz w:val="20"/>
                <w:szCs w:val="20"/>
              </w:rPr>
            </w:pPr>
            <w:r>
              <w:rPr>
                <w:sz w:val="20"/>
                <w:szCs w:val="20"/>
              </w:rPr>
              <w:t>Perform a tune-up on any boilers or furnaces serving Base Building Systems.</w:t>
            </w:r>
          </w:p>
        </w:tc>
      </w:tr>
      <w:tr w:rsidR="00851B5B" w:rsidRPr="00FA300A" w14:paraId="00587FDD" w14:textId="77777777" w:rsidTr="008D0F2B">
        <w:tc>
          <w:tcPr>
            <w:tcW w:w="2393" w:type="dxa"/>
            <w:shd w:val="clear" w:color="auto" w:fill="F2F2F2" w:themeFill="background1" w:themeFillShade="F2"/>
            <w:vAlign w:val="center"/>
          </w:tcPr>
          <w:p w14:paraId="18570721" w14:textId="77777777" w:rsidR="00851B5B" w:rsidRPr="00315CCE" w:rsidRDefault="00851B5B" w:rsidP="00526767">
            <w:pPr>
              <w:rPr>
                <w:b/>
              </w:rPr>
            </w:pPr>
            <w:r>
              <w:rPr>
                <w:b/>
              </w:rPr>
              <w:t>Review &amp; Adjust Domestic Hot Water Temperatures</w:t>
            </w:r>
          </w:p>
        </w:tc>
        <w:tc>
          <w:tcPr>
            <w:tcW w:w="1048" w:type="dxa"/>
            <w:shd w:val="clear" w:color="auto" w:fill="F2F2F2" w:themeFill="background1" w:themeFillShade="F2"/>
            <w:vAlign w:val="center"/>
          </w:tcPr>
          <w:p w14:paraId="5DB93422" w14:textId="77777777" w:rsidR="00851B5B" w:rsidRPr="00526767" w:rsidRDefault="00851B5B" w:rsidP="006E73F1">
            <w:pPr>
              <w:pStyle w:val="ListParagraph"/>
              <w:numPr>
                <w:ilvl w:val="0"/>
                <w:numId w:val="10"/>
              </w:numPr>
              <w:jc w:val="center"/>
              <w:rPr>
                <w:b/>
              </w:rPr>
            </w:pPr>
          </w:p>
        </w:tc>
        <w:tc>
          <w:tcPr>
            <w:tcW w:w="1077" w:type="dxa"/>
            <w:shd w:val="clear" w:color="auto" w:fill="F2F2F2" w:themeFill="background1" w:themeFillShade="F2"/>
            <w:vAlign w:val="center"/>
          </w:tcPr>
          <w:p w14:paraId="2511F091" w14:textId="77777777" w:rsidR="00851B5B" w:rsidRPr="00526767" w:rsidRDefault="00851B5B" w:rsidP="006E73F1">
            <w:pPr>
              <w:pStyle w:val="ListParagraph"/>
              <w:numPr>
                <w:ilvl w:val="0"/>
                <w:numId w:val="10"/>
              </w:numPr>
              <w:jc w:val="center"/>
              <w:rPr>
                <w:b/>
              </w:rPr>
            </w:pPr>
          </w:p>
        </w:tc>
        <w:tc>
          <w:tcPr>
            <w:tcW w:w="5058" w:type="dxa"/>
            <w:shd w:val="clear" w:color="auto" w:fill="F2F2F2" w:themeFill="background1" w:themeFillShade="F2"/>
          </w:tcPr>
          <w:p w14:paraId="3C46B9F3" w14:textId="77777777" w:rsidR="00851B5B" w:rsidRPr="00FA300A" w:rsidRDefault="00851B5B" w:rsidP="006D5503">
            <w:pPr>
              <w:rPr>
                <w:sz w:val="20"/>
                <w:szCs w:val="20"/>
              </w:rPr>
            </w:pPr>
            <w:r>
              <w:rPr>
                <w:sz w:val="20"/>
                <w:szCs w:val="20"/>
              </w:rPr>
              <w:t>Review current domestic hot water temperature setpoints and compare to the current facility requirements. If needed, adjust the setpoints to meet the current facility requirements.</w:t>
            </w:r>
          </w:p>
        </w:tc>
      </w:tr>
      <w:tr w:rsidR="00851B5B" w:rsidRPr="00FA300A" w14:paraId="415D0E5E" w14:textId="77777777" w:rsidTr="008D0F2B">
        <w:tc>
          <w:tcPr>
            <w:tcW w:w="2393" w:type="dxa"/>
            <w:tcBorders>
              <w:bottom w:val="single" w:sz="4" w:space="0" w:color="auto"/>
            </w:tcBorders>
            <w:vAlign w:val="center"/>
          </w:tcPr>
          <w:p w14:paraId="5E2DF9EE" w14:textId="77777777" w:rsidR="00851B5B" w:rsidRPr="00315CCE" w:rsidRDefault="00851B5B" w:rsidP="00526767">
            <w:pPr>
              <w:rPr>
                <w:b/>
              </w:rPr>
            </w:pPr>
            <w:r>
              <w:rPr>
                <w:b/>
              </w:rPr>
              <w:t>Check Air Filters</w:t>
            </w:r>
          </w:p>
        </w:tc>
        <w:tc>
          <w:tcPr>
            <w:tcW w:w="1048" w:type="dxa"/>
            <w:tcBorders>
              <w:bottom w:val="single" w:sz="4" w:space="0" w:color="auto"/>
            </w:tcBorders>
            <w:vAlign w:val="center"/>
          </w:tcPr>
          <w:p w14:paraId="24DA0597" w14:textId="77777777" w:rsidR="00851B5B" w:rsidRPr="00526767" w:rsidRDefault="00851B5B" w:rsidP="006E73F1">
            <w:pPr>
              <w:pStyle w:val="ListParagraph"/>
              <w:numPr>
                <w:ilvl w:val="0"/>
                <w:numId w:val="10"/>
              </w:numPr>
              <w:jc w:val="center"/>
              <w:rPr>
                <w:b/>
              </w:rPr>
            </w:pPr>
          </w:p>
        </w:tc>
        <w:tc>
          <w:tcPr>
            <w:tcW w:w="1077" w:type="dxa"/>
            <w:tcBorders>
              <w:bottom w:val="single" w:sz="4" w:space="0" w:color="auto"/>
            </w:tcBorders>
            <w:vAlign w:val="center"/>
          </w:tcPr>
          <w:p w14:paraId="5B1549D2" w14:textId="77777777" w:rsidR="00851B5B" w:rsidRPr="00526767" w:rsidRDefault="00851B5B" w:rsidP="006E73F1">
            <w:pPr>
              <w:pStyle w:val="ListParagraph"/>
              <w:numPr>
                <w:ilvl w:val="0"/>
                <w:numId w:val="10"/>
              </w:numPr>
              <w:jc w:val="center"/>
              <w:rPr>
                <w:b/>
              </w:rPr>
            </w:pPr>
          </w:p>
        </w:tc>
        <w:tc>
          <w:tcPr>
            <w:tcW w:w="5058" w:type="dxa"/>
            <w:tcBorders>
              <w:bottom w:val="single" w:sz="4" w:space="0" w:color="auto"/>
            </w:tcBorders>
          </w:tcPr>
          <w:p w14:paraId="5ABDE091" w14:textId="77777777" w:rsidR="00851B5B" w:rsidRPr="00FA300A" w:rsidRDefault="00851B5B" w:rsidP="006D5503">
            <w:pPr>
              <w:rPr>
                <w:sz w:val="20"/>
                <w:szCs w:val="20"/>
              </w:rPr>
            </w:pPr>
            <w:r>
              <w:rPr>
                <w:sz w:val="20"/>
                <w:szCs w:val="20"/>
              </w:rPr>
              <w:t>All air filters shall be checked to verify that the pressure drop across the filters are within the manufacturer’s recommended limits.</w:t>
            </w:r>
          </w:p>
        </w:tc>
      </w:tr>
      <w:tr w:rsidR="00851B5B" w:rsidRPr="00FA300A" w14:paraId="6B836DED" w14:textId="77777777" w:rsidTr="008D0F2B">
        <w:tc>
          <w:tcPr>
            <w:tcW w:w="2393" w:type="dxa"/>
            <w:shd w:val="clear" w:color="auto" w:fill="F2F2F2" w:themeFill="background1" w:themeFillShade="F2"/>
            <w:vAlign w:val="center"/>
          </w:tcPr>
          <w:p w14:paraId="29FCF102" w14:textId="77777777" w:rsidR="00851B5B" w:rsidRPr="00315CCE" w:rsidRDefault="00851B5B" w:rsidP="00526767">
            <w:pPr>
              <w:rPr>
                <w:b/>
              </w:rPr>
            </w:pPr>
            <w:r>
              <w:rPr>
                <w:b/>
              </w:rPr>
              <w:t>Install Programmable Thermostats if No Controls Exist</w:t>
            </w:r>
          </w:p>
        </w:tc>
        <w:tc>
          <w:tcPr>
            <w:tcW w:w="1048" w:type="dxa"/>
            <w:shd w:val="clear" w:color="auto" w:fill="F2F2F2" w:themeFill="background1" w:themeFillShade="F2"/>
            <w:vAlign w:val="center"/>
          </w:tcPr>
          <w:p w14:paraId="67B6B0CB" w14:textId="77777777" w:rsidR="00851B5B" w:rsidRPr="00526767" w:rsidRDefault="00851B5B" w:rsidP="006E73F1">
            <w:pPr>
              <w:pStyle w:val="ListParagraph"/>
              <w:numPr>
                <w:ilvl w:val="0"/>
                <w:numId w:val="10"/>
              </w:numPr>
              <w:jc w:val="center"/>
              <w:rPr>
                <w:b/>
              </w:rPr>
            </w:pPr>
          </w:p>
        </w:tc>
        <w:tc>
          <w:tcPr>
            <w:tcW w:w="1077" w:type="dxa"/>
            <w:shd w:val="clear" w:color="auto" w:fill="F2F2F2" w:themeFill="background1" w:themeFillShade="F2"/>
            <w:vAlign w:val="center"/>
          </w:tcPr>
          <w:p w14:paraId="66A93821" w14:textId="77777777" w:rsidR="00851B5B" w:rsidRPr="00526767" w:rsidRDefault="00851B5B" w:rsidP="006E73F1">
            <w:pPr>
              <w:pStyle w:val="ListParagraph"/>
              <w:numPr>
                <w:ilvl w:val="0"/>
                <w:numId w:val="10"/>
              </w:numPr>
              <w:jc w:val="center"/>
              <w:rPr>
                <w:b/>
              </w:rPr>
            </w:pPr>
          </w:p>
        </w:tc>
        <w:tc>
          <w:tcPr>
            <w:tcW w:w="5058" w:type="dxa"/>
            <w:shd w:val="clear" w:color="auto" w:fill="F2F2F2" w:themeFill="background1" w:themeFillShade="F2"/>
          </w:tcPr>
          <w:p w14:paraId="04DB48C5" w14:textId="77777777" w:rsidR="00851B5B" w:rsidRPr="00FA300A" w:rsidRDefault="00851B5B" w:rsidP="006D5503">
            <w:pPr>
              <w:rPr>
                <w:sz w:val="20"/>
                <w:szCs w:val="20"/>
              </w:rPr>
            </w:pPr>
            <w:r>
              <w:rPr>
                <w:sz w:val="20"/>
                <w:szCs w:val="20"/>
              </w:rPr>
              <w:t>If there is no central building Energy management system, and no programmable thermostats, install programmable thermostats in every regularly occupied thermal zone.</w:t>
            </w:r>
          </w:p>
        </w:tc>
      </w:tr>
    </w:tbl>
    <w:p w14:paraId="742502DA" w14:textId="77777777" w:rsidR="00FB0244" w:rsidRDefault="00FB0244" w:rsidP="00FB0244">
      <w:pPr>
        <w:rPr>
          <w:b/>
        </w:rPr>
      </w:pPr>
    </w:p>
    <w:p w14:paraId="4AEB5B6F" w14:textId="77777777" w:rsidR="00FB0244" w:rsidRDefault="00FB0244" w:rsidP="00FB0244">
      <w:pPr>
        <w:rPr>
          <w:b/>
        </w:rPr>
      </w:pPr>
    </w:p>
    <w:p w14:paraId="421F7D14" w14:textId="77777777" w:rsidR="00FB0244" w:rsidRDefault="00FB0244" w:rsidP="00FB0244">
      <w:pPr>
        <w:rPr>
          <w:b/>
        </w:rPr>
      </w:pPr>
    </w:p>
    <w:p w14:paraId="4D0E343E" w14:textId="77777777" w:rsidR="00FB0244" w:rsidRDefault="00FB0244" w:rsidP="00FB0244">
      <w:pPr>
        <w:rPr>
          <w:b/>
        </w:rPr>
      </w:pPr>
    </w:p>
    <w:p w14:paraId="34F70F68" w14:textId="77777777" w:rsidR="00A9405B" w:rsidRDefault="00A9405B" w:rsidP="00FB0244">
      <w:pPr>
        <w:rPr>
          <w:b/>
        </w:rPr>
      </w:pPr>
      <w:r>
        <w:rPr>
          <w:b/>
        </w:rPr>
        <w:br w:type="page"/>
      </w:r>
    </w:p>
    <w:p w14:paraId="0516DD4E" w14:textId="14DDECA2" w:rsidR="00C66D22" w:rsidRDefault="00426293" w:rsidP="00426293">
      <w:pPr>
        <w:pStyle w:val="Heading1"/>
        <w:rPr>
          <w:b/>
        </w:rPr>
      </w:pPr>
      <w:bookmarkStart w:id="835" w:name="_Ref446938755"/>
      <w:bookmarkStart w:id="836" w:name="_Ref447706165"/>
      <w:bookmarkStart w:id="837" w:name="_Toc530563768"/>
      <w:r>
        <w:rPr>
          <w:b/>
        </w:rPr>
        <w:lastRenderedPageBreak/>
        <w:t xml:space="preserve">Appendix </w:t>
      </w:r>
      <w:r w:rsidR="00DD58B8">
        <w:rPr>
          <w:b/>
        </w:rPr>
        <w:t>B</w:t>
      </w:r>
      <w:r>
        <w:rPr>
          <w:b/>
        </w:rPr>
        <w:t xml:space="preserve">: </w:t>
      </w:r>
      <w:r w:rsidR="00FB0244">
        <w:rPr>
          <w:b/>
        </w:rPr>
        <w:t>RCx</w:t>
      </w:r>
      <w:r w:rsidR="00FB0244" w:rsidRPr="00F3493E">
        <w:rPr>
          <w:b/>
        </w:rPr>
        <w:t xml:space="preserve"> </w:t>
      </w:r>
      <w:r w:rsidR="00BE6C02">
        <w:rPr>
          <w:b/>
        </w:rPr>
        <w:t>Report Sample Outline</w:t>
      </w:r>
      <w:bookmarkEnd w:id="835"/>
      <w:bookmarkEnd w:id="836"/>
      <w:bookmarkEnd w:id="837"/>
    </w:p>
    <w:p w14:paraId="5934A89D" w14:textId="5520C7CE" w:rsidR="00B35AE9" w:rsidRDefault="002E2649" w:rsidP="002E2649">
      <w:r>
        <w:t>If a building owner chooses to meet the RCx requirement by participating in the Xcel Energy RCx or Building Tune-up program, the program report</w:t>
      </w:r>
      <w:r w:rsidR="002D0AEB">
        <w:t xml:space="preserve"> AND a copy of the Xcel Recommissioning/Building Tune-up Rebate Application</w:t>
      </w:r>
      <w:r>
        <w:t xml:space="preserve"> is </w:t>
      </w:r>
      <w:r w:rsidR="002D0AEB">
        <w:t>required</w:t>
      </w:r>
      <w:r>
        <w:t xml:space="preserve"> for compliance.</w:t>
      </w:r>
    </w:p>
    <w:p w14:paraId="5435807A" w14:textId="77777777" w:rsidR="002E2649" w:rsidRPr="002E2649" w:rsidRDefault="002E2649" w:rsidP="002E2649">
      <w:r>
        <w:t>If a building owner chooses to hire a service provider to complete RCx outside of an existing program (such as completing RCx concurrently with the energy assessment), the final RCx report should includ</w:t>
      </w:r>
      <w:r w:rsidR="005739DB">
        <w:t>e</w:t>
      </w:r>
      <w:r>
        <w:t xml:space="preserve"> the following information:</w:t>
      </w:r>
    </w:p>
    <w:p w14:paraId="238EA250" w14:textId="77777777" w:rsidR="00FB0244" w:rsidRPr="004C6EA5" w:rsidRDefault="00FB0244" w:rsidP="006E73F1">
      <w:pPr>
        <w:pStyle w:val="ListParagraph"/>
        <w:numPr>
          <w:ilvl w:val="0"/>
          <w:numId w:val="9"/>
        </w:numPr>
      </w:pPr>
      <w:r w:rsidRPr="004C6EA5">
        <w:t>Title Page</w:t>
      </w:r>
    </w:p>
    <w:p w14:paraId="31F5904F" w14:textId="77777777" w:rsidR="00FB0244" w:rsidRPr="004C6EA5" w:rsidRDefault="00FB0244" w:rsidP="006E73F1">
      <w:pPr>
        <w:pStyle w:val="ListParagraph"/>
        <w:numPr>
          <w:ilvl w:val="0"/>
          <w:numId w:val="9"/>
        </w:numPr>
      </w:pPr>
      <w:r w:rsidRPr="004C6EA5">
        <w:t>Executive Summary</w:t>
      </w:r>
    </w:p>
    <w:p w14:paraId="34ADF7D9" w14:textId="77777777" w:rsidR="00FB0244" w:rsidRPr="004C6EA5" w:rsidRDefault="00FB0244" w:rsidP="006E73F1">
      <w:pPr>
        <w:pStyle w:val="ListParagraph"/>
        <w:numPr>
          <w:ilvl w:val="0"/>
          <w:numId w:val="9"/>
        </w:numPr>
      </w:pPr>
      <w:r w:rsidRPr="004C6EA5">
        <w:t>Summary of building use (with square footage breakdown) and typical operation</w:t>
      </w:r>
    </w:p>
    <w:p w14:paraId="110A0ECF" w14:textId="77777777" w:rsidR="00FB0244" w:rsidRPr="004C6EA5" w:rsidRDefault="00FB0244" w:rsidP="006E73F1">
      <w:pPr>
        <w:pStyle w:val="ListParagraph"/>
        <w:numPr>
          <w:ilvl w:val="0"/>
          <w:numId w:val="9"/>
        </w:numPr>
      </w:pPr>
      <w:r w:rsidRPr="004C6EA5">
        <w:t>Summary of building systems including mechanical, electrical, and control systems</w:t>
      </w:r>
    </w:p>
    <w:p w14:paraId="49E6DFE8" w14:textId="4527E16F" w:rsidR="00FB0244" w:rsidRPr="004C6EA5" w:rsidRDefault="00FB0244" w:rsidP="006E73F1">
      <w:pPr>
        <w:pStyle w:val="ListParagraph"/>
        <w:numPr>
          <w:ilvl w:val="0"/>
          <w:numId w:val="9"/>
        </w:numPr>
      </w:pPr>
      <w:r w:rsidRPr="004C6EA5">
        <w:t>Summary of the results of each completed activity required in the retro</w:t>
      </w:r>
      <w:r w:rsidR="00134260">
        <w:t>-</w:t>
      </w:r>
      <w:r w:rsidRPr="004C6EA5">
        <w:t>commissioning scope</w:t>
      </w:r>
    </w:p>
    <w:p w14:paraId="3928B6C6" w14:textId="26003724" w:rsidR="00FB0244" w:rsidRPr="004C6EA5" w:rsidRDefault="00FB0244" w:rsidP="006E73F1">
      <w:pPr>
        <w:pStyle w:val="ListParagraph"/>
        <w:numPr>
          <w:ilvl w:val="0"/>
          <w:numId w:val="9"/>
        </w:numPr>
      </w:pPr>
      <w:r w:rsidRPr="004C6EA5">
        <w:t>Table of recommended retro</w:t>
      </w:r>
      <w:r w:rsidR="00134260">
        <w:t>-</w:t>
      </w:r>
      <w:r w:rsidRPr="004C6EA5">
        <w:t>commissioning measures including:</w:t>
      </w:r>
    </w:p>
    <w:p w14:paraId="69F8AE8E" w14:textId="77777777" w:rsidR="00FB0244" w:rsidRPr="004C6EA5" w:rsidRDefault="00FB0244" w:rsidP="006E73F1">
      <w:pPr>
        <w:pStyle w:val="ListParagraph"/>
        <w:numPr>
          <w:ilvl w:val="1"/>
          <w:numId w:val="9"/>
        </w:numPr>
      </w:pPr>
      <w:r w:rsidRPr="004C6EA5">
        <w:t>Capital costs</w:t>
      </w:r>
    </w:p>
    <w:p w14:paraId="044D7B9F" w14:textId="77777777" w:rsidR="00FB0244" w:rsidRPr="004C6EA5" w:rsidRDefault="00FB0244" w:rsidP="006E73F1">
      <w:pPr>
        <w:pStyle w:val="ListParagraph"/>
        <w:numPr>
          <w:ilvl w:val="1"/>
          <w:numId w:val="9"/>
        </w:numPr>
      </w:pPr>
      <w:r w:rsidRPr="004C6EA5">
        <w:t>Applicable rebates and incentives</w:t>
      </w:r>
    </w:p>
    <w:p w14:paraId="2B8C23CF" w14:textId="77777777" w:rsidR="00FB0244" w:rsidRPr="004C6EA5" w:rsidRDefault="00FB0244" w:rsidP="006E73F1">
      <w:pPr>
        <w:pStyle w:val="ListParagraph"/>
        <w:numPr>
          <w:ilvl w:val="1"/>
          <w:numId w:val="9"/>
        </w:numPr>
      </w:pPr>
      <w:r w:rsidRPr="004C6EA5">
        <w:t>Annual energy savings</w:t>
      </w:r>
    </w:p>
    <w:p w14:paraId="3A4673A6" w14:textId="77777777" w:rsidR="00FB0244" w:rsidRPr="004C6EA5" w:rsidRDefault="00FB0244" w:rsidP="006E73F1">
      <w:pPr>
        <w:pStyle w:val="ListParagraph"/>
        <w:numPr>
          <w:ilvl w:val="1"/>
          <w:numId w:val="9"/>
        </w:numPr>
      </w:pPr>
      <w:r w:rsidRPr="004C6EA5">
        <w:t>Annual maintenance savings</w:t>
      </w:r>
    </w:p>
    <w:p w14:paraId="3BCF6AAA" w14:textId="77777777" w:rsidR="00FB0244" w:rsidRPr="004C6EA5" w:rsidRDefault="00FB0244" w:rsidP="006E73F1">
      <w:pPr>
        <w:pStyle w:val="ListParagraph"/>
        <w:numPr>
          <w:ilvl w:val="1"/>
          <w:numId w:val="9"/>
        </w:numPr>
      </w:pPr>
      <w:r w:rsidRPr="004C6EA5">
        <w:t>Payback period</w:t>
      </w:r>
    </w:p>
    <w:p w14:paraId="1F3BE0EA" w14:textId="77777777" w:rsidR="00FB0244" w:rsidRPr="004C6EA5" w:rsidRDefault="00FB0244" w:rsidP="006E73F1">
      <w:pPr>
        <w:pStyle w:val="ListParagraph"/>
        <w:numPr>
          <w:ilvl w:val="1"/>
          <w:numId w:val="9"/>
        </w:numPr>
      </w:pPr>
      <w:r w:rsidRPr="004C6EA5">
        <w:t>Recommended implementation timeline for each measure</w:t>
      </w:r>
    </w:p>
    <w:p w14:paraId="57302CB9" w14:textId="77777777" w:rsidR="00FB0244" w:rsidRPr="004C6EA5" w:rsidRDefault="00FB0244" w:rsidP="006E73F1">
      <w:pPr>
        <w:pStyle w:val="ListParagraph"/>
        <w:numPr>
          <w:ilvl w:val="0"/>
          <w:numId w:val="9"/>
        </w:numPr>
      </w:pPr>
      <w:r w:rsidRPr="004C6EA5">
        <w:t>Documentation of RCx measures</w:t>
      </w:r>
    </w:p>
    <w:p w14:paraId="6E30AC7E" w14:textId="77777777" w:rsidR="00FB0244" w:rsidRPr="004C6EA5" w:rsidRDefault="00FB0244" w:rsidP="006E73F1">
      <w:pPr>
        <w:pStyle w:val="ListParagraph"/>
        <w:numPr>
          <w:ilvl w:val="1"/>
          <w:numId w:val="9"/>
        </w:numPr>
      </w:pPr>
      <w:r w:rsidRPr="004C6EA5">
        <w:t>Finding description</w:t>
      </w:r>
    </w:p>
    <w:p w14:paraId="5C563E34" w14:textId="77777777" w:rsidR="00FB0244" w:rsidRPr="004C6EA5" w:rsidRDefault="00FB0244" w:rsidP="006E73F1">
      <w:pPr>
        <w:pStyle w:val="ListParagraph"/>
        <w:numPr>
          <w:ilvl w:val="1"/>
          <w:numId w:val="9"/>
        </w:numPr>
      </w:pPr>
      <w:r w:rsidRPr="004C6EA5">
        <w:t xml:space="preserve">How the measure </w:t>
      </w:r>
      <w:r w:rsidR="00063990">
        <w:t xml:space="preserve">was </w:t>
      </w:r>
      <w:r w:rsidRPr="004C6EA5">
        <w:t>found</w:t>
      </w:r>
    </w:p>
    <w:p w14:paraId="739D4866" w14:textId="77777777" w:rsidR="00FB0244" w:rsidRPr="004C6EA5" w:rsidRDefault="00FB0244" w:rsidP="006E73F1">
      <w:pPr>
        <w:pStyle w:val="ListParagraph"/>
        <w:numPr>
          <w:ilvl w:val="1"/>
          <w:numId w:val="9"/>
        </w:numPr>
      </w:pPr>
      <w:r w:rsidRPr="004C6EA5">
        <w:t>How the measure is to be implemented</w:t>
      </w:r>
    </w:p>
    <w:p w14:paraId="73EF6664" w14:textId="77777777" w:rsidR="00FB0244" w:rsidRPr="004C6EA5" w:rsidRDefault="00FB0244" w:rsidP="006E73F1">
      <w:pPr>
        <w:pStyle w:val="ListParagraph"/>
        <w:numPr>
          <w:ilvl w:val="1"/>
          <w:numId w:val="9"/>
        </w:numPr>
      </w:pPr>
      <w:r w:rsidRPr="004C6EA5">
        <w:t>How the measure will save energy</w:t>
      </w:r>
    </w:p>
    <w:p w14:paraId="4237F58D" w14:textId="77777777" w:rsidR="00FB0244" w:rsidRPr="004C6EA5" w:rsidRDefault="00FB0244" w:rsidP="006E73F1">
      <w:pPr>
        <w:pStyle w:val="ListParagraph"/>
        <w:numPr>
          <w:ilvl w:val="1"/>
          <w:numId w:val="9"/>
        </w:numPr>
      </w:pPr>
      <w:r w:rsidRPr="004C6EA5">
        <w:t>How the savings where determined (calculation methodology)</w:t>
      </w:r>
    </w:p>
    <w:p w14:paraId="77D3F95C" w14:textId="77777777" w:rsidR="00FB0244" w:rsidRPr="004C6EA5" w:rsidRDefault="00FB0244" w:rsidP="006E73F1">
      <w:pPr>
        <w:pStyle w:val="ListParagraph"/>
        <w:numPr>
          <w:ilvl w:val="1"/>
          <w:numId w:val="9"/>
        </w:numPr>
      </w:pPr>
      <w:r w:rsidRPr="004C6EA5">
        <w:t>What evidence of implementation is required</w:t>
      </w:r>
    </w:p>
    <w:p w14:paraId="1A124825" w14:textId="77777777" w:rsidR="00FB0244" w:rsidRPr="00F3493E" w:rsidRDefault="00FB0244" w:rsidP="00FB0244">
      <w:pPr>
        <w:rPr>
          <w:b/>
        </w:rPr>
      </w:pPr>
    </w:p>
    <w:p w14:paraId="4A666186" w14:textId="77777777" w:rsidR="00FB0244" w:rsidRPr="006A42E6" w:rsidRDefault="00FB0244" w:rsidP="00FB0244"/>
    <w:p w14:paraId="54B8205A" w14:textId="77777777" w:rsidR="00FB0244" w:rsidRPr="006A42E6" w:rsidRDefault="00FB0244" w:rsidP="00FB0244"/>
    <w:p w14:paraId="36BE1242" w14:textId="77777777" w:rsidR="00FB0244" w:rsidRDefault="00FB0244" w:rsidP="00FB0244">
      <w:pPr>
        <w:rPr>
          <w:rFonts w:asciiTheme="majorHAnsi" w:eastAsiaTheme="majorEastAsia" w:hAnsiTheme="majorHAnsi" w:cstheme="majorBidi"/>
          <w:color w:val="004C4C" w:themeColor="accent1" w:themeShade="BF"/>
          <w:sz w:val="26"/>
          <w:szCs w:val="26"/>
        </w:rPr>
      </w:pPr>
      <w:r>
        <w:br w:type="page"/>
      </w:r>
    </w:p>
    <w:p w14:paraId="34CF4798" w14:textId="6D05C553" w:rsidR="000C38C4" w:rsidRPr="00BE6C02" w:rsidRDefault="00BE6C02" w:rsidP="00BE6C02">
      <w:pPr>
        <w:pStyle w:val="Heading1"/>
        <w:rPr>
          <w:b/>
        </w:rPr>
      </w:pPr>
      <w:bookmarkStart w:id="838" w:name="_Toc445462124"/>
      <w:bookmarkStart w:id="839" w:name="_Toc445462998"/>
      <w:bookmarkStart w:id="840" w:name="_Ref447716559"/>
      <w:bookmarkStart w:id="841" w:name="_Toc530563769"/>
      <w:r>
        <w:rPr>
          <w:b/>
        </w:rPr>
        <w:lastRenderedPageBreak/>
        <w:t xml:space="preserve">Appendix </w:t>
      </w:r>
      <w:bookmarkStart w:id="842" w:name="_Ref430938085"/>
      <w:bookmarkStart w:id="843" w:name="_Toc430955074"/>
      <w:bookmarkStart w:id="844" w:name="_Toc445462125"/>
      <w:bookmarkStart w:id="845" w:name="_Ref447197007"/>
      <w:bookmarkStart w:id="846" w:name="_Ref447197010"/>
      <w:bookmarkStart w:id="847" w:name="_Ref447197188"/>
      <w:bookmarkEnd w:id="838"/>
      <w:bookmarkEnd w:id="839"/>
      <w:r w:rsidR="00DD58B8">
        <w:rPr>
          <w:b/>
        </w:rPr>
        <w:t>C</w:t>
      </w:r>
      <w:r w:rsidR="0003491F" w:rsidRPr="0003491F">
        <w:rPr>
          <w:b/>
        </w:rPr>
        <w:t xml:space="preserve">: </w:t>
      </w:r>
      <w:bookmarkEnd w:id="842"/>
      <w:bookmarkEnd w:id="843"/>
      <w:r w:rsidR="0003491F" w:rsidRPr="0003491F">
        <w:rPr>
          <w:b/>
        </w:rPr>
        <w:t>How to Maintain and Track Your Energy Savings</w:t>
      </w:r>
      <w:bookmarkEnd w:id="840"/>
      <w:bookmarkEnd w:id="841"/>
      <w:bookmarkEnd w:id="844"/>
      <w:bookmarkEnd w:id="845"/>
      <w:bookmarkEnd w:id="846"/>
      <w:bookmarkEnd w:id="847"/>
    </w:p>
    <w:p w14:paraId="0EFA4EFD" w14:textId="77777777" w:rsidR="001E2540" w:rsidRDefault="001E2540" w:rsidP="007C4ACA">
      <w:r>
        <w:t>To realize the most benefit from complying with these efficiency requirements, build owners should adopt on-going best practices to maintain and track their building’s energy savings. Performing annual rating and reporting on the building’s energy use is an important first step and is required by the City’s Building Performance Ordinance. But beyond that, building owners should consider adopting the following best practices:</w:t>
      </w:r>
    </w:p>
    <w:p w14:paraId="33B4FF4D" w14:textId="77777777" w:rsidR="00376DE2" w:rsidRDefault="00376DE2" w:rsidP="00D52A3B">
      <w:pPr>
        <w:pStyle w:val="ListParagraph"/>
        <w:numPr>
          <w:ilvl w:val="0"/>
          <w:numId w:val="47"/>
        </w:numPr>
      </w:pPr>
      <w:r>
        <w:t>Provider Engagement</w:t>
      </w:r>
    </w:p>
    <w:p w14:paraId="41B2FA13" w14:textId="77777777" w:rsidR="0022526D" w:rsidRDefault="001E2540" w:rsidP="00D52A3B">
      <w:pPr>
        <w:pStyle w:val="ListParagraph"/>
        <w:numPr>
          <w:ilvl w:val="0"/>
          <w:numId w:val="47"/>
        </w:numPr>
      </w:pPr>
      <w:r>
        <w:t>Measure commissioning</w:t>
      </w:r>
    </w:p>
    <w:p w14:paraId="0A308139" w14:textId="77777777" w:rsidR="0022526D" w:rsidRDefault="001E2540" w:rsidP="00D52A3B">
      <w:pPr>
        <w:pStyle w:val="ListParagraph"/>
        <w:numPr>
          <w:ilvl w:val="0"/>
          <w:numId w:val="47"/>
        </w:numPr>
      </w:pPr>
      <w:r>
        <w:t>Staff Training</w:t>
      </w:r>
    </w:p>
    <w:p w14:paraId="01DA24C7" w14:textId="77777777" w:rsidR="0022526D" w:rsidRDefault="00376DE2" w:rsidP="00D52A3B">
      <w:pPr>
        <w:pStyle w:val="ListParagraph"/>
        <w:numPr>
          <w:ilvl w:val="0"/>
          <w:numId w:val="47"/>
        </w:numPr>
      </w:pPr>
      <w:r>
        <w:t xml:space="preserve">Operations and Maintenance </w:t>
      </w:r>
      <w:r w:rsidR="00FA2201">
        <w:t xml:space="preserve">(O&amp;M) </w:t>
      </w:r>
      <w:r>
        <w:t>Practices</w:t>
      </w:r>
    </w:p>
    <w:p w14:paraId="28C19B32" w14:textId="77777777" w:rsidR="00376DE2" w:rsidRDefault="00FA2201" w:rsidP="00D52A3B">
      <w:pPr>
        <w:pStyle w:val="ListParagraph"/>
        <w:numPr>
          <w:ilvl w:val="0"/>
          <w:numId w:val="47"/>
        </w:numPr>
      </w:pPr>
      <w:r>
        <w:t>Measurement and Verification (M&amp;V)</w:t>
      </w:r>
    </w:p>
    <w:p w14:paraId="266B89C9" w14:textId="77777777" w:rsidR="00FA2201" w:rsidRDefault="00FA2201" w:rsidP="00D52A3B">
      <w:pPr>
        <w:pStyle w:val="ListParagraph"/>
        <w:numPr>
          <w:ilvl w:val="0"/>
          <w:numId w:val="47"/>
        </w:numPr>
      </w:pPr>
      <w:r>
        <w:t>Periodic RCx and Ongoing Commissioning</w:t>
      </w:r>
    </w:p>
    <w:p w14:paraId="0691AC7B" w14:textId="2767AC89" w:rsidR="00376DE2" w:rsidRDefault="00376DE2" w:rsidP="00B444FF">
      <w:pPr>
        <w:pStyle w:val="Heading3"/>
      </w:pPr>
      <w:r>
        <w:t>Measure Commissioning</w:t>
      </w:r>
    </w:p>
    <w:p w14:paraId="1D92909A" w14:textId="77777777" w:rsidR="00292A8E" w:rsidRPr="00E435D7" w:rsidRDefault="00C254C0" w:rsidP="00D17EAF">
      <w:r>
        <w:t xml:space="preserve">Measure commissioning </w:t>
      </w:r>
      <w:r w:rsidR="00FA2201">
        <w:t>(</w:t>
      </w:r>
      <w:proofErr w:type="spellStart"/>
      <w:r w:rsidR="00FA2201">
        <w:t>MCx</w:t>
      </w:r>
      <w:proofErr w:type="spellEnd"/>
      <w:r w:rsidR="00FA2201">
        <w:t xml:space="preserve">) </w:t>
      </w:r>
      <w:r>
        <w:t>includes</w:t>
      </w:r>
      <w:r w:rsidR="00292A8E" w:rsidRPr="00E435D7">
        <w:t xml:space="preserve"> </w:t>
      </w:r>
      <w:r w:rsidR="00E435D7" w:rsidRPr="00E435D7">
        <w:t xml:space="preserve">performance testing and </w:t>
      </w:r>
      <w:r w:rsidR="00292A8E" w:rsidRPr="00E435D7">
        <w:t>documentation</w:t>
      </w:r>
      <w:r>
        <w:t xml:space="preserve"> of implemented measures similar to what would be done in a new building. </w:t>
      </w:r>
      <w:r w:rsidR="00B37E74">
        <w:t>These services should adhere to the appropriate ASHRAE commissioning standards</w:t>
      </w:r>
      <w:r w:rsidR="00911149">
        <w:t xml:space="preserve"> and</w:t>
      </w:r>
      <w:r>
        <w:t xml:space="preserve"> typically include design review, performance testing, drawings that include improved sequences of operations, performance testing results, logging and</w:t>
      </w:r>
      <w:r w:rsidRPr="00C254C0">
        <w:t xml:space="preserve"> </w:t>
      </w:r>
      <w:r>
        <w:t>trending recommendations for important data points, and recommended re-testing intervals.</w:t>
      </w:r>
    </w:p>
    <w:p w14:paraId="1AC213FA" w14:textId="73BF34A5" w:rsidR="00376DE2" w:rsidRDefault="00376DE2" w:rsidP="00B444FF">
      <w:pPr>
        <w:pStyle w:val="Heading3"/>
      </w:pPr>
      <w:r>
        <w:t>Training</w:t>
      </w:r>
    </w:p>
    <w:p w14:paraId="228521DB" w14:textId="77777777" w:rsidR="00292A8E" w:rsidRPr="00E435D7" w:rsidRDefault="007C4ACA" w:rsidP="00D17EAF">
      <w:r>
        <w:t>Staff t</w:t>
      </w:r>
      <w:r w:rsidR="00292A8E" w:rsidRPr="00E435D7">
        <w:t xml:space="preserve">raining </w:t>
      </w:r>
      <w:r w:rsidR="00C254C0">
        <w:t>should always be carried out</w:t>
      </w:r>
      <w:r w:rsidR="00B37E74">
        <w:t xml:space="preserve"> with the implementation of new measures</w:t>
      </w:r>
      <w:r w:rsidR="00C254C0">
        <w:t xml:space="preserve">. This can be classroom or hands-on training typically done </w:t>
      </w:r>
      <w:r w:rsidR="00D52A3B">
        <w:t xml:space="preserve">by equipment vendors </w:t>
      </w:r>
      <w:r w:rsidR="00C254C0">
        <w:t xml:space="preserve">during equipment start-up. </w:t>
      </w:r>
      <w:r w:rsidR="00AC33EC">
        <w:t xml:space="preserve">The crucial aspect of this training </w:t>
      </w:r>
      <w:r w:rsidR="00C254C0">
        <w:t xml:space="preserve">is that those people responsible for the operation and maintenance of this </w:t>
      </w:r>
      <w:r w:rsidR="00AC33EC">
        <w:t xml:space="preserve">equipment have a thorough understanding of </w:t>
      </w:r>
      <w:r w:rsidR="00B37E74">
        <w:t>any new equipment</w:t>
      </w:r>
      <w:r w:rsidR="00911149">
        <w:t>,</w:t>
      </w:r>
      <w:r w:rsidR="00B37E74">
        <w:t xml:space="preserve"> </w:t>
      </w:r>
      <w:r w:rsidR="00AC33EC">
        <w:t xml:space="preserve">what the intended operation is, and how to maintain it. </w:t>
      </w:r>
    </w:p>
    <w:p w14:paraId="6870A5B3" w14:textId="5CB21988" w:rsidR="00B37E74" w:rsidRDefault="00376DE2" w:rsidP="00B444FF">
      <w:pPr>
        <w:pStyle w:val="Heading3"/>
      </w:pPr>
      <w:r>
        <w:t>Operations and Maintenance</w:t>
      </w:r>
      <w:r w:rsidR="00FA2201">
        <w:t xml:space="preserve"> Practices</w:t>
      </w:r>
    </w:p>
    <w:p w14:paraId="4491A762" w14:textId="77777777" w:rsidR="00292A8E" w:rsidRDefault="00911149" w:rsidP="00D17EAF">
      <w:r>
        <w:t>O&amp;M</w:t>
      </w:r>
      <w:r w:rsidR="00D52A3B">
        <w:t xml:space="preserve"> practice</w:t>
      </w:r>
      <w:r>
        <w:t>s</w:t>
      </w:r>
      <w:r w:rsidR="00D52A3B">
        <w:t xml:space="preserve"> should </w:t>
      </w:r>
      <w:r>
        <w:t xml:space="preserve">be provided at during implementation and </w:t>
      </w:r>
      <w:r w:rsidR="00D52A3B">
        <w:t>include</w:t>
      </w:r>
      <w:r w:rsidR="00AC33EC">
        <w:t xml:space="preserve"> </w:t>
      </w:r>
      <w:r w:rsidR="00B37E74">
        <w:t xml:space="preserve">new equipment </w:t>
      </w:r>
      <w:r w:rsidR="00AC33EC">
        <w:t>drawings</w:t>
      </w:r>
      <w:r>
        <w:t>,</w:t>
      </w:r>
      <w:r w:rsidR="00AC33EC">
        <w:t xml:space="preserve"> warranty information, recommended operations practices</w:t>
      </w:r>
      <w:r w:rsidR="00D52A3B">
        <w:t>,</w:t>
      </w:r>
      <w:r w:rsidR="00AC33EC">
        <w:t xml:space="preserve"> maintenance s</w:t>
      </w:r>
      <w:r w:rsidR="00E435D7" w:rsidRPr="00E435D7">
        <w:t>chedules</w:t>
      </w:r>
      <w:r w:rsidR="00A15C55">
        <w:t xml:space="preserve"> </w:t>
      </w:r>
      <w:r>
        <w:t>and</w:t>
      </w:r>
      <w:r w:rsidR="00A15C55">
        <w:t xml:space="preserve"> </w:t>
      </w:r>
      <w:r w:rsidR="00AC33EC">
        <w:t xml:space="preserve">sensor </w:t>
      </w:r>
      <w:r w:rsidR="00A15C55">
        <w:t>calibration</w:t>
      </w:r>
      <w:r w:rsidR="00AC33EC">
        <w:t xml:space="preserve"> intervals. Ensure that all calibrations are done to the equipment manufacturer’s recommended precision levels</w:t>
      </w:r>
      <w:r>
        <w:t>.</w:t>
      </w:r>
      <w:r>
        <w:rPr>
          <w:rStyle w:val="FootnoteReference"/>
        </w:rPr>
        <w:footnoteReference w:id="14"/>
      </w:r>
      <w:r w:rsidR="00AC33EC">
        <w:t xml:space="preserve"> </w:t>
      </w:r>
    </w:p>
    <w:p w14:paraId="22CF2EE6" w14:textId="29D242BB" w:rsidR="00FA2201" w:rsidRDefault="00FA2201" w:rsidP="00B444FF">
      <w:pPr>
        <w:pStyle w:val="Heading3"/>
      </w:pPr>
      <w:r>
        <w:t>Measurement and Verification</w:t>
      </w:r>
    </w:p>
    <w:p w14:paraId="0146EE4C" w14:textId="77777777" w:rsidR="00C254C0" w:rsidRPr="00E435D7" w:rsidRDefault="00C254C0" w:rsidP="00D17EAF">
      <w:r>
        <w:t>M&amp;V</w:t>
      </w:r>
      <w:r w:rsidR="00AC33EC">
        <w:t xml:space="preserve"> allows for the tracking of energy use and compares this to a benchmark usage. </w:t>
      </w:r>
      <w:r w:rsidR="002759D6">
        <w:t>M&amp;V should follow the</w:t>
      </w:r>
      <w:r w:rsidR="00AC33EC">
        <w:t xml:space="preserve"> international industry standard for </w:t>
      </w:r>
      <w:r w:rsidR="009F52B1">
        <w:t xml:space="preserve">energy retrofits by the Efficiency Valuation Organization, called the </w:t>
      </w:r>
      <w:hyperlink r:id="rId60" w:history="1">
        <w:r w:rsidR="007C4ACA" w:rsidRPr="001E6EE1">
          <w:rPr>
            <w:rStyle w:val="Hyperlink"/>
          </w:rPr>
          <w:t>IPMVP</w:t>
        </w:r>
      </w:hyperlink>
      <w:r w:rsidR="007C4ACA">
        <w:t xml:space="preserve"> </w:t>
      </w:r>
      <w:r w:rsidR="009F52B1">
        <w:t>(International Performance Measurement and Verification Protocol) standard. An M&amp;V effort typically consists of an M&amp;V Plan completed before the measure is implemented</w:t>
      </w:r>
      <w:r w:rsidR="002759D6">
        <w:t>,</w:t>
      </w:r>
      <w:r w:rsidR="009F52B1">
        <w:t xml:space="preserve"> and M&amp;V Reports </w:t>
      </w:r>
      <w:r w:rsidR="00FA2201">
        <w:t>one year after</w:t>
      </w:r>
      <w:r w:rsidR="009F52B1">
        <w:t xml:space="preserve"> implementation of the measure</w:t>
      </w:r>
      <w:r w:rsidR="00FA2201">
        <w:t>s</w:t>
      </w:r>
      <w:r w:rsidR="009F52B1">
        <w:t>.</w:t>
      </w:r>
      <w:r w:rsidR="004823B1">
        <w:t xml:space="preserve"> </w:t>
      </w:r>
    </w:p>
    <w:p w14:paraId="19308AB1" w14:textId="65729BDF" w:rsidR="00FA2201" w:rsidRDefault="00FA2201" w:rsidP="00B444FF">
      <w:pPr>
        <w:pStyle w:val="Heading3"/>
      </w:pPr>
      <w:r>
        <w:t>Periodic RCx and Ongoing Commissioning</w:t>
      </w:r>
    </w:p>
    <w:p w14:paraId="76455ACD" w14:textId="77777777" w:rsidR="002759D6" w:rsidRDefault="00FA2201" w:rsidP="00D17EAF">
      <w:r>
        <w:t>P</w:t>
      </w:r>
      <w:r w:rsidR="00E435D7">
        <w:t xml:space="preserve">eriodic </w:t>
      </w:r>
      <w:r w:rsidR="00A15C55">
        <w:t>RCx</w:t>
      </w:r>
      <w:r w:rsidR="002759D6">
        <w:t xml:space="preserve"> </w:t>
      </w:r>
      <w:r w:rsidR="004823B1">
        <w:t xml:space="preserve">has been shown to greatly improve the persistence of measures that have been implemented. </w:t>
      </w:r>
      <w:r w:rsidR="002759D6">
        <w:t>With recent advances in</w:t>
      </w:r>
      <w:r w:rsidR="00CA019F">
        <w:t xml:space="preserve"> computer and wireless technologies, a new approach known as </w:t>
      </w:r>
      <w:r w:rsidR="00A15C55">
        <w:t>o</w:t>
      </w:r>
      <w:r w:rsidR="00E435D7">
        <w:t xml:space="preserve">ngoing </w:t>
      </w:r>
      <w:r w:rsidR="00CA019F">
        <w:t xml:space="preserve"> commissioning (</w:t>
      </w:r>
      <w:proofErr w:type="spellStart"/>
      <w:r w:rsidR="00CA019F">
        <w:t>OCx</w:t>
      </w:r>
      <w:proofErr w:type="spellEnd"/>
      <w:r w:rsidR="00CA019F">
        <w:t>)</w:t>
      </w:r>
      <w:r w:rsidR="007E53BD">
        <w:t xml:space="preserve">, </w:t>
      </w:r>
      <w:r w:rsidR="00CA019F">
        <w:t xml:space="preserve">or </w:t>
      </w:r>
      <w:r w:rsidR="007E53BD">
        <w:t>monitoring-based commissioning (</w:t>
      </w:r>
      <w:r w:rsidR="00E435D7">
        <w:t>MBCx</w:t>
      </w:r>
      <w:r w:rsidR="007E53BD">
        <w:t xml:space="preserve">) has evolved over the last </w:t>
      </w:r>
      <w:r w:rsidR="007E53BD">
        <w:lastRenderedPageBreak/>
        <w:t xml:space="preserve">few years and promises to improve energy savings persistence, occupant comfort, systems uptime, and awareness of energy users in modern buildings. </w:t>
      </w:r>
    </w:p>
    <w:p w14:paraId="5DB96025" w14:textId="1A7B1E0E" w:rsidR="00E435D7" w:rsidRDefault="007E53BD" w:rsidP="00D17EAF">
      <w:r>
        <w:t xml:space="preserve">These </w:t>
      </w:r>
      <w:proofErr w:type="spellStart"/>
      <w:r w:rsidR="002C2BCA">
        <w:t>OCx</w:t>
      </w:r>
      <w:proofErr w:type="spellEnd"/>
      <w:r w:rsidR="002C2BCA">
        <w:t xml:space="preserve">/MBCx </w:t>
      </w:r>
      <w:r>
        <w:t xml:space="preserve">systems are typically comprised of sensors that monitor critical systems, push this information into a database, and report the data in a </w:t>
      </w:r>
      <w:r w:rsidR="00B444FF">
        <w:t>user-friendly</w:t>
      </w:r>
      <w:r>
        <w:t xml:space="preserve"> format like an energy dashboard. </w:t>
      </w:r>
      <w:r w:rsidR="002C2BCA">
        <w:t>More importantly</w:t>
      </w:r>
      <w:r>
        <w:t xml:space="preserve">, these systems also have algorithms that look for problems with systems that can affect energy use, comfort and equipment life. </w:t>
      </w:r>
    </w:p>
    <w:p w14:paraId="2BAA62CE" w14:textId="34AF0392" w:rsidR="002C2BCA" w:rsidRPr="00E435D7" w:rsidRDefault="002C2BCA" w:rsidP="00D17EAF">
      <w:r>
        <w:t xml:space="preserve">Although </w:t>
      </w:r>
      <w:proofErr w:type="spellStart"/>
      <w:r>
        <w:t>OCx</w:t>
      </w:r>
      <w:proofErr w:type="spellEnd"/>
      <w:r>
        <w:t xml:space="preserve">/MBCx systems can improve persistence in the interim period between RCx efforts, they do not replace the RCx effort required by the Ordinance once each </w:t>
      </w:r>
      <w:r w:rsidR="00B444FF">
        <w:t>ten-year</w:t>
      </w:r>
      <w:r>
        <w:t xml:space="preserve"> period.</w:t>
      </w:r>
    </w:p>
    <w:p w14:paraId="429D39E0" w14:textId="77777777" w:rsidR="00113D95" w:rsidRPr="00292A8E" w:rsidRDefault="00113D95" w:rsidP="00E435D7">
      <w:pPr>
        <w:pStyle w:val="ListParagraph"/>
        <w:ind w:left="1440"/>
        <w:rPr>
          <w:highlight w:val="yellow"/>
        </w:rPr>
      </w:pPr>
    </w:p>
    <w:p w14:paraId="24C21354" w14:textId="77777777" w:rsidR="00C66D22" w:rsidRDefault="00FB0244">
      <w:pPr>
        <w:rPr>
          <w:sz w:val="26"/>
          <w:szCs w:val="26"/>
        </w:rPr>
      </w:pPr>
      <w:bookmarkStart w:id="848" w:name="_Toc441482657"/>
      <w:r>
        <w:br w:type="page"/>
      </w:r>
      <w:bookmarkEnd w:id="848"/>
    </w:p>
    <w:p w14:paraId="446C45E5" w14:textId="77777777" w:rsidR="00A2604B" w:rsidRDefault="0003491F" w:rsidP="00671B6D">
      <w:pPr>
        <w:pStyle w:val="Heading1"/>
        <w:rPr>
          <w:b/>
          <w:color w:val="FF9933"/>
        </w:rPr>
      </w:pPr>
      <w:bookmarkStart w:id="849" w:name="_Toc445462127"/>
      <w:bookmarkStart w:id="850" w:name="_Toc530563770"/>
      <w:bookmarkStart w:id="851" w:name="Glossary"/>
      <w:r w:rsidRPr="0003491F">
        <w:rPr>
          <w:b/>
        </w:rPr>
        <w:lastRenderedPageBreak/>
        <w:t>Glossary</w:t>
      </w:r>
      <w:bookmarkEnd w:id="849"/>
      <w:bookmarkEnd w:id="850"/>
    </w:p>
    <w:bookmarkEnd w:id="851"/>
    <w:p w14:paraId="08C24DDE" w14:textId="77777777" w:rsidR="00586D6C" w:rsidRPr="00586D6C" w:rsidRDefault="00586D6C" w:rsidP="00586D6C">
      <w:pPr>
        <w:autoSpaceDE w:val="0"/>
        <w:autoSpaceDN w:val="0"/>
        <w:adjustRightInd w:val="0"/>
        <w:spacing w:after="0" w:line="240" w:lineRule="auto"/>
        <w:rPr>
          <w:rFonts w:ascii="Times New Roman" w:hAnsi="Times New Roman" w:cs="Times New Roman"/>
          <w:color w:val="000000"/>
          <w:sz w:val="24"/>
          <w:szCs w:val="24"/>
        </w:rPr>
      </w:pPr>
    </w:p>
    <w:p w14:paraId="2131F1CD" w14:textId="77777777" w:rsidR="00C66D22" w:rsidRDefault="00586D6C" w:rsidP="006E73F1">
      <w:pPr>
        <w:pStyle w:val="ListParagraph"/>
        <w:numPr>
          <w:ilvl w:val="0"/>
          <w:numId w:val="7"/>
        </w:numPr>
        <w:autoSpaceDE w:val="0"/>
        <w:autoSpaceDN w:val="0"/>
        <w:adjustRightInd w:val="0"/>
        <w:spacing w:after="50" w:line="240" w:lineRule="auto"/>
        <w:ind w:left="360"/>
        <w:rPr>
          <w:rFonts w:cs="Times New Roman"/>
          <w:color w:val="000000"/>
        </w:rPr>
      </w:pPr>
      <w:r w:rsidRPr="0047080D">
        <w:rPr>
          <w:rFonts w:cs="Times New Roman"/>
          <w:color w:val="000000"/>
        </w:rPr>
        <w:t xml:space="preserve">“Base Building Systems” mean the systems or sub-systems of a building that use Energy and/or impact Energy consumption including but not limited to: Primary HVAC (heating, ventilation, air conditioning) systems; Conveying systems; Domestic hot water systems, and; Electrical and lighting systems. Base Building Systems shall not include equipment used for Industrial Processes. </w:t>
      </w:r>
    </w:p>
    <w:p w14:paraId="14160923" w14:textId="77777777" w:rsidR="00C66D22" w:rsidRDefault="00586D6C" w:rsidP="006E73F1">
      <w:pPr>
        <w:pStyle w:val="ListParagraph"/>
        <w:numPr>
          <w:ilvl w:val="0"/>
          <w:numId w:val="7"/>
        </w:numPr>
        <w:autoSpaceDE w:val="0"/>
        <w:autoSpaceDN w:val="0"/>
        <w:adjustRightInd w:val="0"/>
        <w:spacing w:after="50" w:line="240" w:lineRule="auto"/>
        <w:ind w:left="360"/>
        <w:rPr>
          <w:rFonts w:cs="Times New Roman"/>
          <w:color w:val="000000"/>
        </w:rPr>
      </w:pPr>
      <w:r w:rsidRPr="0047080D">
        <w:rPr>
          <w:rFonts w:cs="Times New Roman"/>
          <w:color w:val="000000"/>
        </w:rPr>
        <w:t xml:space="preserve">“Cost Effective” means any investment or project with a predicted Payback Period of five years or less. </w:t>
      </w:r>
    </w:p>
    <w:p w14:paraId="2C693804" w14:textId="77777777" w:rsidR="00C66D22" w:rsidRDefault="00586D6C" w:rsidP="006E73F1">
      <w:pPr>
        <w:pStyle w:val="ListParagraph"/>
        <w:numPr>
          <w:ilvl w:val="0"/>
          <w:numId w:val="7"/>
        </w:numPr>
        <w:autoSpaceDE w:val="0"/>
        <w:autoSpaceDN w:val="0"/>
        <w:adjustRightInd w:val="0"/>
        <w:spacing w:after="50" w:line="240" w:lineRule="auto"/>
        <w:ind w:left="360"/>
        <w:rPr>
          <w:rFonts w:cs="Times New Roman"/>
          <w:color w:val="000000"/>
        </w:rPr>
      </w:pPr>
      <w:r w:rsidRPr="0047080D">
        <w:rPr>
          <w:rFonts w:cs="Times New Roman"/>
          <w:color w:val="000000"/>
        </w:rPr>
        <w:t xml:space="preserve">“Current Facility Requirements” means the Owner’s current operational needs and requirements for a building and systems including but not limited to space temperature and humidity set points, operating hours, ventilation, filtration and any integrated requirements such as controls, personnel training, warranty review, and service contract review. </w:t>
      </w:r>
    </w:p>
    <w:p w14:paraId="5B96C30C" w14:textId="77777777" w:rsidR="00C66D22" w:rsidRDefault="00586D6C" w:rsidP="006E73F1">
      <w:pPr>
        <w:pStyle w:val="ListParagraph"/>
        <w:numPr>
          <w:ilvl w:val="0"/>
          <w:numId w:val="7"/>
        </w:numPr>
        <w:autoSpaceDE w:val="0"/>
        <w:autoSpaceDN w:val="0"/>
        <w:adjustRightInd w:val="0"/>
        <w:spacing w:after="50" w:line="240" w:lineRule="auto"/>
        <w:ind w:left="360"/>
        <w:rPr>
          <w:rFonts w:cs="Times New Roman"/>
          <w:color w:val="000000"/>
        </w:rPr>
      </w:pPr>
      <w:r w:rsidRPr="0047080D">
        <w:rPr>
          <w:rFonts w:cs="Times New Roman"/>
          <w:color w:val="000000"/>
        </w:rPr>
        <w:t xml:space="preserve">“Energy” means </w:t>
      </w:r>
      <w:r w:rsidR="002E2649">
        <w:rPr>
          <w:rFonts w:cs="Times New Roman"/>
          <w:color w:val="000000"/>
        </w:rPr>
        <w:t>electricity</w:t>
      </w:r>
      <w:r w:rsidRPr="0047080D">
        <w:rPr>
          <w:rFonts w:cs="Times New Roman"/>
          <w:color w:val="000000"/>
        </w:rPr>
        <w:t xml:space="preserve">, natural gas, steam, hot or chilled water, heating oil, or other product for use in a building, or renewable on-site </w:t>
      </w:r>
      <w:r w:rsidR="002E2649">
        <w:rPr>
          <w:rFonts w:cs="Times New Roman"/>
          <w:color w:val="000000"/>
        </w:rPr>
        <w:t>electricity</w:t>
      </w:r>
      <w:r w:rsidRPr="0047080D">
        <w:rPr>
          <w:rFonts w:cs="Times New Roman"/>
          <w:color w:val="000000"/>
        </w:rPr>
        <w:t xml:space="preserve"> generation, for purposes of providing heating, cooling, lighting, water heating, or for powering or fueling other end-uses in the building and related facilities. </w:t>
      </w:r>
    </w:p>
    <w:p w14:paraId="41C59C25" w14:textId="77777777" w:rsidR="00C66D22" w:rsidRDefault="00586D6C" w:rsidP="006E73F1">
      <w:pPr>
        <w:pStyle w:val="ListParagraph"/>
        <w:numPr>
          <w:ilvl w:val="0"/>
          <w:numId w:val="7"/>
        </w:numPr>
        <w:autoSpaceDE w:val="0"/>
        <w:autoSpaceDN w:val="0"/>
        <w:adjustRightInd w:val="0"/>
        <w:spacing w:after="50" w:line="240" w:lineRule="auto"/>
        <w:ind w:left="360"/>
        <w:rPr>
          <w:rFonts w:cs="Times New Roman"/>
          <w:color w:val="000000"/>
        </w:rPr>
      </w:pPr>
      <w:r w:rsidRPr="0047080D">
        <w:rPr>
          <w:rFonts w:cs="Times New Roman"/>
          <w:color w:val="000000"/>
        </w:rPr>
        <w:t xml:space="preserve">“Energy Assessment” means a systematic evaluation to identify modifications and improvements to building equipment and systems which use Energy. </w:t>
      </w:r>
    </w:p>
    <w:p w14:paraId="550409C9" w14:textId="77777777" w:rsidR="00C66D22" w:rsidRDefault="00586D6C" w:rsidP="006E73F1">
      <w:pPr>
        <w:pStyle w:val="ListParagraph"/>
        <w:numPr>
          <w:ilvl w:val="0"/>
          <w:numId w:val="7"/>
        </w:numPr>
        <w:autoSpaceDE w:val="0"/>
        <w:autoSpaceDN w:val="0"/>
        <w:adjustRightInd w:val="0"/>
        <w:spacing w:after="50" w:line="240" w:lineRule="auto"/>
        <w:ind w:left="360"/>
        <w:rPr>
          <w:rFonts w:cs="Times New Roman"/>
          <w:color w:val="000000"/>
        </w:rPr>
      </w:pPr>
      <w:r w:rsidRPr="0047080D">
        <w:rPr>
          <w:rFonts w:cs="Times New Roman"/>
          <w:color w:val="000000"/>
        </w:rPr>
        <w:t xml:space="preserve">“Energy Assessment Report” means a report prepared and certified by an Energy Assessor on the approved list on the Project Website, covering the scope provided by the </w:t>
      </w:r>
      <w:r w:rsidR="000354AC">
        <w:rPr>
          <w:rFonts w:cs="Times New Roman"/>
          <w:color w:val="000000"/>
        </w:rPr>
        <w:t>City</w:t>
      </w:r>
      <w:r w:rsidRPr="0047080D">
        <w:rPr>
          <w:rFonts w:cs="Times New Roman"/>
          <w:color w:val="000000"/>
        </w:rPr>
        <w:t xml:space="preserve"> Manager. </w:t>
      </w:r>
    </w:p>
    <w:p w14:paraId="16F855C3" w14:textId="77777777" w:rsidR="00C66D22" w:rsidRDefault="00586D6C" w:rsidP="006E73F1">
      <w:pPr>
        <w:pStyle w:val="ListParagraph"/>
        <w:numPr>
          <w:ilvl w:val="0"/>
          <w:numId w:val="7"/>
        </w:numPr>
        <w:autoSpaceDE w:val="0"/>
        <w:autoSpaceDN w:val="0"/>
        <w:adjustRightInd w:val="0"/>
        <w:spacing w:after="50" w:line="240" w:lineRule="auto"/>
        <w:ind w:left="360"/>
        <w:rPr>
          <w:rFonts w:cs="Times New Roman"/>
          <w:color w:val="000000"/>
        </w:rPr>
      </w:pPr>
      <w:r w:rsidRPr="0047080D">
        <w:rPr>
          <w:rFonts w:cs="Times New Roman"/>
          <w:color w:val="000000"/>
        </w:rPr>
        <w:t xml:space="preserve">“Energy Performance Score” means the numeric rating generated by the ENERGY STAR Portfolio Manager tool or equivalent tool adopted by the </w:t>
      </w:r>
      <w:r w:rsidR="000354AC">
        <w:rPr>
          <w:rFonts w:cs="Times New Roman"/>
          <w:color w:val="000000"/>
        </w:rPr>
        <w:t>City</w:t>
      </w:r>
      <w:r w:rsidRPr="0047080D">
        <w:rPr>
          <w:rFonts w:cs="Times New Roman"/>
          <w:color w:val="000000"/>
        </w:rPr>
        <w:t xml:space="preserve"> Manager that compares the Energy usage of the building to that of similar buildings. </w:t>
      </w:r>
    </w:p>
    <w:p w14:paraId="4FFEE957" w14:textId="77777777" w:rsidR="00C66D22" w:rsidRDefault="00586D6C" w:rsidP="006E73F1">
      <w:pPr>
        <w:pStyle w:val="ListParagraph"/>
        <w:numPr>
          <w:ilvl w:val="0"/>
          <w:numId w:val="7"/>
        </w:numPr>
        <w:autoSpaceDE w:val="0"/>
        <w:autoSpaceDN w:val="0"/>
        <w:adjustRightInd w:val="0"/>
        <w:spacing w:after="50" w:line="240" w:lineRule="auto"/>
        <w:ind w:left="360"/>
        <w:rPr>
          <w:rFonts w:cs="Times New Roman"/>
          <w:color w:val="000000"/>
        </w:rPr>
      </w:pPr>
      <w:r w:rsidRPr="0047080D">
        <w:rPr>
          <w:rFonts w:cs="Times New Roman"/>
          <w:color w:val="000000"/>
        </w:rPr>
        <w:t xml:space="preserve">“ENERGY STAR” means the U.S. Environmental Protection Agency program related to improving Energy efficiency in buildings and products. </w:t>
      </w:r>
    </w:p>
    <w:p w14:paraId="014A7DBC" w14:textId="77777777" w:rsidR="00C66D22" w:rsidRDefault="00586D6C" w:rsidP="006E73F1">
      <w:pPr>
        <w:pStyle w:val="ListParagraph"/>
        <w:numPr>
          <w:ilvl w:val="0"/>
          <w:numId w:val="7"/>
        </w:numPr>
        <w:autoSpaceDE w:val="0"/>
        <w:autoSpaceDN w:val="0"/>
        <w:adjustRightInd w:val="0"/>
        <w:spacing w:after="50" w:line="240" w:lineRule="auto"/>
        <w:ind w:left="360"/>
        <w:rPr>
          <w:rFonts w:cs="Times New Roman"/>
          <w:color w:val="000000"/>
        </w:rPr>
      </w:pPr>
      <w:r w:rsidRPr="0047080D">
        <w:rPr>
          <w:rFonts w:cs="Times New Roman"/>
          <w:color w:val="000000"/>
        </w:rPr>
        <w:t xml:space="preserve">“ENERGY STAR Portfolio Manager” means the Internet-based tool developed and maintained by the U.S. Environmental Protection Agency to track and assess the relative Energy performance of buildings nationwide. </w:t>
      </w:r>
    </w:p>
    <w:p w14:paraId="21C64195" w14:textId="77777777" w:rsidR="00C66D22" w:rsidRDefault="00586D6C" w:rsidP="006E73F1">
      <w:pPr>
        <w:pStyle w:val="ListParagraph"/>
        <w:numPr>
          <w:ilvl w:val="0"/>
          <w:numId w:val="7"/>
        </w:numPr>
        <w:autoSpaceDE w:val="0"/>
        <w:autoSpaceDN w:val="0"/>
        <w:adjustRightInd w:val="0"/>
        <w:spacing w:after="50" w:line="240" w:lineRule="auto"/>
        <w:ind w:left="360"/>
        <w:rPr>
          <w:rFonts w:cs="Times New Roman"/>
          <w:color w:val="000000"/>
        </w:rPr>
      </w:pPr>
      <w:r w:rsidRPr="0047080D">
        <w:rPr>
          <w:rFonts w:cs="Times New Roman"/>
          <w:color w:val="000000"/>
        </w:rPr>
        <w:t xml:space="preserve">“Energy Use Intensity (EUI)” means the total </w:t>
      </w:r>
      <w:proofErr w:type="spellStart"/>
      <w:r w:rsidRPr="0047080D">
        <w:rPr>
          <w:rFonts w:cs="Times New Roman"/>
          <w:color w:val="000000"/>
        </w:rPr>
        <w:t>kBTUs</w:t>
      </w:r>
      <w:proofErr w:type="spellEnd"/>
      <w:r w:rsidRPr="0047080D">
        <w:rPr>
          <w:rFonts w:cs="Times New Roman"/>
          <w:color w:val="000000"/>
        </w:rPr>
        <w:t xml:space="preserve"> (1,000 British Thermal Units) used per square foot of floor area. </w:t>
      </w:r>
    </w:p>
    <w:p w14:paraId="4DCEB204" w14:textId="77777777" w:rsidR="00C66D22" w:rsidRDefault="00586D6C" w:rsidP="006E73F1">
      <w:pPr>
        <w:pStyle w:val="ListParagraph"/>
        <w:numPr>
          <w:ilvl w:val="0"/>
          <w:numId w:val="7"/>
        </w:numPr>
        <w:autoSpaceDE w:val="0"/>
        <w:autoSpaceDN w:val="0"/>
        <w:adjustRightInd w:val="0"/>
        <w:spacing w:after="50" w:line="240" w:lineRule="auto"/>
        <w:ind w:left="360"/>
        <w:rPr>
          <w:rFonts w:cs="Times New Roman"/>
          <w:color w:val="000000"/>
        </w:rPr>
      </w:pPr>
      <w:r w:rsidRPr="0047080D">
        <w:rPr>
          <w:rFonts w:cs="Times New Roman"/>
          <w:color w:val="000000"/>
        </w:rPr>
        <w:t>“Industrial Processes” means any business related process supported by mechanical or electrical te</w:t>
      </w:r>
      <w:r w:rsidR="009236CC" w:rsidRPr="0047080D">
        <w:rPr>
          <w:rFonts w:cs="Times New Roman"/>
          <w:color w:val="000000"/>
        </w:rPr>
        <w:t>r</w:t>
      </w:r>
      <w:r w:rsidRPr="0047080D">
        <w:rPr>
          <w:rFonts w:cs="Times New Roman"/>
          <w:color w:val="000000"/>
        </w:rPr>
        <w:t xml:space="preserve">ms other than Base Building Systems. </w:t>
      </w:r>
    </w:p>
    <w:p w14:paraId="0D903456" w14:textId="77777777" w:rsidR="00C66D22" w:rsidRDefault="00586D6C" w:rsidP="006E73F1">
      <w:pPr>
        <w:pStyle w:val="ListParagraph"/>
        <w:numPr>
          <w:ilvl w:val="0"/>
          <w:numId w:val="7"/>
        </w:numPr>
        <w:autoSpaceDE w:val="0"/>
        <w:autoSpaceDN w:val="0"/>
        <w:adjustRightInd w:val="0"/>
        <w:spacing w:after="50" w:line="240" w:lineRule="auto"/>
        <w:ind w:left="360"/>
        <w:rPr>
          <w:rFonts w:cs="Times New Roman"/>
          <w:color w:val="000000"/>
        </w:rPr>
      </w:pPr>
      <w:r w:rsidRPr="0047080D">
        <w:rPr>
          <w:rFonts w:cs="Times New Roman"/>
          <w:color w:val="000000"/>
        </w:rPr>
        <w:t xml:space="preserve">“Large Industrial Campus” means a facility in which three or more buildings, at least partially used for manufacturing uses, are served by a central plant or single utility meter. </w:t>
      </w:r>
    </w:p>
    <w:p w14:paraId="7034802F" w14:textId="77777777" w:rsidR="00C66D22" w:rsidRDefault="00586D6C" w:rsidP="006E73F1">
      <w:pPr>
        <w:pStyle w:val="ListParagraph"/>
        <w:numPr>
          <w:ilvl w:val="0"/>
          <w:numId w:val="7"/>
        </w:numPr>
        <w:autoSpaceDE w:val="0"/>
        <w:autoSpaceDN w:val="0"/>
        <w:adjustRightInd w:val="0"/>
        <w:spacing w:after="0" w:line="240" w:lineRule="auto"/>
        <w:ind w:left="360"/>
        <w:rPr>
          <w:rFonts w:cs="Times New Roman"/>
          <w:color w:val="000000"/>
        </w:rPr>
      </w:pPr>
      <w:r w:rsidRPr="0047080D">
        <w:rPr>
          <w:rFonts w:cs="Times New Roman"/>
          <w:color w:val="000000"/>
        </w:rPr>
        <w:t xml:space="preserve">“Manufacturing” means any building which has a primary use of assemblage, processing, and/or manufacturing products from raw materials or fabricated parts OR one that has the majority of its Energy usage come from process loads. </w:t>
      </w:r>
    </w:p>
    <w:p w14:paraId="29268D14" w14:textId="77777777" w:rsidR="00C66D22" w:rsidRDefault="00586D6C" w:rsidP="006E73F1">
      <w:pPr>
        <w:pStyle w:val="ListParagraph"/>
        <w:numPr>
          <w:ilvl w:val="0"/>
          <w:numId w:val="7"/>
        </w:numPr>
        <w:autoSpaceDE w:val="0"/>
        <w:autoSpaceDN w:val="0"/>
        <w:adjustRightInd w:val="0"/>
        <w:spacing w:after="50" w:line="240" w:lineRule="auto"/>
        <w:ind w:left="360"/>
        <w:rPr>
          <w:rFonts w:cs="Times New Roman"/>
        </w:rPr>
      </w:pPr>
      <w:r w:rsidRPr="0047080D">
        <w:rPr>
          <w:rFonts w:cs="Times New Roman"/>
        </w:rPr>
        <w:t xml:space="preserve">“Owner” means any person who is a commercial or industrial building Owner, or is an Owner's representative, such as a property manager, who has charge of, or controls any building or parts thereof. </w:t>
      </w:r>
    </w:p>
    <w:p w14:paraId="46FEF170" w14:textId="77777777" w:rsidR="00C66D22" w:rsidRDefault="00586D6C" w:rsidP="006E73F1">
      <w:pPr>
        <w:pStyle w:val="ListParagraph"/>
        <w:numPr>
          <w:ilvl w:val="0"/>
          <w:numId w:val="7"/>
        </w:numPr>
        <w:autoSpaceDE w:val="0"/>
        <w:autoSpaceDN w:val="0"/>
        <w:adjustRightInd w:val="0"/>
        <w:spacing w:after="50" w:line="240" w:lineRule="auto"/>
        <w:ind w:left="360"/>
        <w:rPr>
          <w:rFonts w:cs="Times New Roman"/>
        </w:rPr>
      </w:pPr>
      <w:r w:rsidRPr="0047080D">
        <w:rPr>
          <w:rFonts w:cs="Times New Roman"/>
        </w:rPr>
        <w:t xml:space="preserve">“Partners for a Clean Environment” (PACE) is a joint program with the </w:t>
      </w:r>
      <w:r w:rsidR="000354AC">
        <w:rPr>
          <w:rFonts w:cs="Times New Roman"/>
        </w:rPr>
        <w:t>C</w:t>
      </w:r>
      <w:r w:rsidR="00D51DF2">
        <w:rPr>
          <w:rFonts w:cs="Times New Roman"/>
        </w:rPr>
        <w:t>ity</w:t>
      </w:r>
      <w:r w:rsidRPr="0047080D">
        <w:rPr>
          <w:rFonts w:cs="Times New Roman"/>
        </w:rPr>
        <w:t xml:space="preserve"> and County of Boulder that provides free expert advisor services, financial incentives and a certification program to help businesses measure and gain recognition for their Energy, waste, water, and transportation achievements. </w:t>
      </w:r>
      <w:proofErr w:type="spellStart"/>
      <w:r w:rsidRPr="0047080D">
        <w:rPr>
          <w:rFonts w:cs="Times New Roman"/>
        </w:rPr>
        <w:t>EnergySmart</w:t>
      </w:r>
      <w:proofErr w:type="spellEnd"/>
      <w:r w:rsidRPr="0047080D">
        <w:rPr>
          <w:rFonts w:cs="Times New Roman"/>
        </w:rPr>
        <w:t xml:space="preserve"> is PACE’s Energy service program. </w:t>
      </w:r>
    </w:p>
    <w:p w14:paraId="3D811FDE" w14:textId="77777777" w:rsidR="00C66D22" w:rsidRDefault="00586D6C" w:rsidP="006E73F1">
      <w:pPr>
        <w:pStyle w:val="ListParagraph"/>
        <w:numPr>
          <w:ilvl w:val="0"/>
          <w:numId w:val="7"/>
        </w:numPr>
        <w:autoSpaceDE w:val="0"/>
        <w:autoSpaceDN w:val="0"/>
        <w:adjustRightInd w:val="0"/>
        <w:spacing w:after="50" w:line="240" w:lineRule="auto"/>
        <w:ind w:left="360"/>
        <w:rPr>
          <w:rFonts w:cs="Times New Roman"/>
        </w:rPr>
      </w:pPr>
      <w:r w:rsidRPr="0047080D">
        <w:rPr>
          <w:rFonts w:cs="Times New Roman"/>
        </w:rPr>
        <w:t xml:space="preserve">“Payback Period” means the length of time required to recover the capital cost (less rebates and incentives) of an investment through operational savings. </w:t>
      </w:r>
    </w:p>
    <w:p w14:paraId="1DB05ABF" w14:textId="77777777" w:rsidR="00C66D22" w:rsidRDefault="00586D6C" w:rsidP="006E73F1">
      <w:pPr>
        <w:pStyle w:val="ListParagraph"/>
        <w:numPr>
          <w:ilvl w:val="0"/>
          <w:numId w:val="7"/>
        </w:numPr>
        <w:autoSpaceDE w:val="0"/>
        <w:autoSpaceDN w:val="0"/>
        <w:adjustRightInd w:val="0"/>
        <w:spacing w:after="50" w:line="240" w:lineRule="auto"/>
        <w:ind w:left="360"/>
        <w:rPr>
          <w:rFonts w:cs="Times New Roman"/>
        </w:rPr>
      </w:pPr>
      <w:r w:rsidRPr="0047080D">
        <w:rPr>
          <w:rFonts w:cs="Times New Roman"/>
        </w:rPr>
        <w:lastRenderedPageBreak/>
        <w:t xml:space="preserve">“Project Website” means www.BoulderBuildingPerformance.com, the website maintained by the </w:t>
      </w:r>
      <w:r w:rsidR="00AC355F">
        <w:rPr>
          <w:rFonts w:cs="Times New Roman"/>
        </w:rPr>
        <w:t>City</w:t>
      </w:r>
      <w:r w:rsidRPr="0047080D">
        <w:rPr>
          <w:rFonts w:cs="Times New Roman"/>
        </w:rPr>
        <w:t xml:space="preserve"> Manager for the implementation of these requirements. </w:t>
      </w:r>
    </w:p>
    <w:p w14:paraId="119615B9" w14:textId="77777777" w:rsidR="00C66D22" w:rsidRDefault="00586D6C" w:rsidP="006E73F1">
      <w:pPr>
        <w:pStyle w:val="ListParagraph"/>
        <w:numPr>
          <w:ilvl w:val="0"/>
          <w:numId w:val="7"/>
        </w:numPr>
        <w:autoSpaceDE w:val="0"/>
        <w:autoSpaceDN w:val="0"/>
        <w:adjustRightInd w:val="0"/>
        <w:spacing w:after="50" w:line="240" w:lineRule="auto"/>
        <w:ind w:left="360"/>
        <w:rPr>
          <w:rFonts w:cs="Times New Roman"/>
        </w:rPr>
      </w:pPr>
      <w:r w:rsidRPr="0047080D">
        <w:rPr>
          <w:rFonts w:cs="Times New Roman"/>
        </w:rPr>
        <w:t xml:space="preserve">“Rating and Reporting Tool” means the U.S. Environmental Protection Agency’s Internet-based tool, ENERGY STAR Portfolio Manager, and any additional tool adopted by the </w:t>
      </w:r>
      <w:r w:rsidR="00AC355F">
        <w:rPr>
          <w:rFonts w:cs="Times New Roman"/>
        </w:rPr>
        <w:t>City</w:t>
      </w:r>
      <w:r w:rsidRPr="0047080D">
        <w:rPr>
          <w:rFonts w:cs="Times New Roman"/>
        </w:rPr>
        <w:t xml:space="preserve"> Manager for this purpose. </w:t>
      </w:r>
    </w:p>
    <w:p w14:paraId="45CC26DC" w14:textId="77777777" w:rsidR="00C66D22" w:rsidRDefault="00D174C6" w:rsidP="006E73F1">
      <w:pPr>
        <w:pStyle w:val="ListParagraph"/>
        <w:numPr>
          <w:ilvl w:val="0"/>
          <w:numId w:val="7"/>
        </w:numPr>
        <w:autoSpaceDE w:val="0"/>
        <w:autoSpaceDN w:val="0"/>
        <w:adjustRightInd w:val="0"/>
        <w:spacing w:after="50" w:line="240" w:lineRule="auto"/>
        <w:ind w:left="360"/>
        <w:rPr>
          <w:rFonts w:cs="Times New Roman"/>
        </w:rPr>
      </w:pPr>
      <w:r>
        <w:rPr>
          <w:rFonts w:cs="Times New Roman"/>
        </w:rPr>
        <w:t xml:space="preserve">“Requests for Qualifications” RFQ and “Requests for Proposals” (RFP). </w:t>
      </w:r>
      <w:r w:rsidRPr="00475AD3">
        <w:t xml:space="preserve">RFQs and RFPs are typically requested for very large and complex projects (in the million dollar </w:t>
      </w:r>
      <w:r>
        <w:t xml:space="preserve">or more </w:t>
      </w:r>
      <w:r w:rsidRPr="00475AD3">
        <w:t xml:space="preserve">project cost range), or where there is a policy requiring these efforts. Typically there will be two levels of selection, although sometimes the RFQ and RFP are combined. If split, RFQs are requested first. The list of possible candidates is then reduced based on the </w:t>
      </w:r>
      <w:r>
        <w:t>provider’s qualifications</w:t>
      </w:r>
      <w:r w:rsidRPr="00475AD3">
        <w:t xml:space="preserve"> through a selection of remaining candidates for the RFP. This pre-selected group of providers then </w:t>
      </w:r>
      <w:r>
        <w:t>responds to</w:t>
      </w:r>
      <w:r w:rsidRPr="00475AD3">
        <w:t xml:space="preserve"> an RFP after scoping the project, and a single provider is chosen.</w:t>
      </w:r>
    </w:p>
    <w:p w14:paraId="43FB98CB" w14:textId="7549BF7F" w:rsidR="00C66D22" w:rsidRDefault="00586D6C" w:rsidP="006E73F1">
      <w:pPr>
        <w:pStyle w:val="ListParagraph"/>
        <w:numPr>
          <w:ilvl w:val="0"/>
          <w:numId w:val="7"/>
        </w:numPr>
        <w:autoSpaceDE w:val="0"/>
        <w:autoSpaceDN w:val="0"/>
        <w:adjustRightInd w:val="0"/>
        <w:spacing w:after="50" w:line="240" w:lineRule="auto"/>
        <w:ind w:left="360"/>
        <w:rPr>
          <w:rFonts w:cs="Times New Roman"/>
        </w:rPr>
      </w:pPr>
      <w:r w:rsidRPr="0047080D">
        <w:rPr>
          <w:rFonts w:cs="Times New Roman"/>
        </w:rPr>
        <w:t>“Retro</w:t>
      </w:r>
      <w:r w:rsidR="00972001">
        <w:rPr>
          <w:rFonts w:cs="Times New Roman"/>
        </w:rPr>
        <w:t>-</w:t>
      </w:r>
      <w:r w:rsidRPr="0047080D">
        <w:rPr>
          <w:rFonts w:cs="Times New Roman"/>
        </w:rPr>
        <w:t xml:space="preserve">commissioning” means identifying and correcting building system issues to achieve optimal building performance, in a manner specified by the </w:t>
      </w:r>
      <w:r w:rsidR="00AC355F">
        <w:rPr>
          <w:rFonts w:cs="Times New Roman"/>
        </w:rPr>
        <w:t>City</w:t>
      </w:r>
      <w:r w:rsidRPr="0047080D">
        <w:rPr>
          <w:rFonts w:cs="Times New Roman"/>
        </w:rPr>
        <w:t xml:space="preserve"> Manager. </w:t>
      </w:r>
    </w:p>
    <w:p w14:paraId="2621798A" w14:textId="3C982B3D" w:rsidR="00C66D22" w:rsidRDefault="00586D6C" w:rsidP="006E73F1">
      <w:pPr>
        <w:pStyle w:val="ListParagraph"/>
        <w:numPr>
          <w:ilvl w:val="0"/>
          <w:numId w:val="7"/>
        </w:numPr>
        <w:autoSpaceDE w:val="0"/>
        <w:autoSpaceDN w:val="0"/>
        <w:adjustRightInd w:val="0"/>
        <w:spacing w:after="50" w:line="240" w:lineRule="auto"/>
        <w:ind w:left="360"/>
        <w:rPr>
          <w:rFonts w:cs="Times New Roman"/>
        </w:rPr>
      </w:pPr>
      <w:r w:rsidRPr="0047080D">
        <w:rPr>
          <w:rFonts w:cs="Times New Roman"/>
        </w:rPr>
        <w:t>“Retro</w:t>
      </w:r>
      <w:r w:rsidR="00972001">
        <w:rPr>
          <w:rFonts w:cs="Times New Roman"/>
        </w:rPr>
        <w:t>-</w:t>
      </w:r>
      <w:r w:rsidRPr="0047080D">
        <w:rPr>
          <w:rFonts w:cs="Times New Roman"/>
        </w:rPr>
        <w:t>commissioning Measure” means a corrective action or facility improvement identified during the investigation or evaluation phase of Retro</w:t>
      </w:r>
      <w:r w:rsidR="00972001">
        <w:rPr>
          <w:rFonts w:cs="Times New Roman"/>
        </w:rPr>
        <w:t>-</w:t>
      </w:r>
      <w:r w:rsidRPr="0047080D">
        <w:rPr>
          <w:rFonts w:cs="Times New Roman"/>
        </w:rPr>
        <w:t xml:space="preserve">commissioning. </w:t>
      </w:r>
    </w:p>
    <w:p w14:paraId="6D407C25" w14:textId="34AC498C" w:rsidR="00C66D22" w:rsidRDefault="00586D6C" w:rsidP="006E73F1">
      <w:pPr>
        <w:pStyle w:val="ListParagraph"/>
        <w:numPr>
          <w:ilvl w:val="0"/>
          <w:numId w:val="7"/>
        </w:numPr>
        <w:autoSpaceDE w:val="0"/>
        <w:autoSpaceDN w:val="0"/>
        <w:adjustRightInd w:val="0"/>
        <w:spacing w:after="50" w:line="240" w:lineRule="auto"/>
        <w:ind w:left="360"/>
        <w:rPr>
          <w:rFonts w:cs="Times New Roman"/>
        </w:rPr>
      </w:pPr>
      <w:r w:rsidRPr="0047080D">
        <w:rPr>
          <w:rFonts w:cs="Times New Roman"/>
        </w:rPr>
        <w:t>“Retro</w:t>
      </w:r>
      <w:r w:rsidR="00972001">
        <w:rPr>
          <w:rFonts w:cs="Times New Roman"/>
        </w:rPr>
        <w:t>-</w:t>
      </w:r>
      <w:r w:rsidRPr="0047080D">
        <w:rPr>
          <w:rFonts w:cs="Times New Roman"/>
        </w:rPr>
        <w:t>commissioning Report” means a report prepared and certified by a Retro</w:t>
      </w:r>
      <w:r w:rsidR="00972001">
        <w:rPr>
          <w:rFonts w:cs="Times New Roman"/>
        </w:rPr>
        <w:t>-</w:t>
      </w:r>
      <w:r w:rsidRPr="0047080D">
        <w:rPr>
          <w:rFonts w:cs="Times New Roman"/>
        </w:rPr>
        <w:t xml:space="preserve">commissioning Professional on the approved list on the Project Website, covering the scope provided by the </w:t>
      </w:r>
      <w:r w:rsidR="00AC355F">
        <w:rPr>
          <w:rFonts w:cs="Times New Roman"/>
        </w:rPr>
        <w:t>City</w:t>
      </w:r>
      <w:r w:rsidRPr="0047080D">
        <w:rPr>
          <w:rFonts w:cs="Times New Roman"/>
        </w:rPr>
        <w:t xml:space="preserve"> Manager. </w:t>
      </w:r>
    </w:p>
    <w:p w14:paraId="5DE78F8D" w14:textId="77777777" w:rsidR="00C66D22" w:rsidRDefault="00586D6C" w:rsidP="006E73F1">
      <w:pPr>
        <w:pStyle w:val="ListParagraph"/>
        <w:numPr>
          <w:ilvl w:val="0"/>
          <w:numId w:val="7"/>
        </w:numPr>
        <w:autoSpaceDE w:val="0"/>
        <w:autoSpaceDN w:val="0"/>
        <w:adjustRightInd w:val="0"/>
        <w:spacing w:after="50" w:line="240" w:lineRule="auto"/>
        <w:ind w:left="360"/>
        <w:rPr>
          <w:rFonts w:cs="Times New Roman"/>
        </w:rPr>
      </w:pPr>
      <w:r w:rsidRPr="0047080D">
        <w:rPr>
          <w:rFonts w:cs="Times New Roman"/>
        </w:rPr>
        <w:t xml:space="preserve">“Site Energy” means the amount of Energy consumed by a building as reflected in utility bills or other documentation of actual Energy use. </w:t>
      </w:r>
    </w:p>
    <w:p w14:paraId="177AF4A8" w14:textId="77777777" w:rsidR="00C66D22" w:rsidRDefault="00586D6C" w:rsidP="006E73F1">
      <w:pPr>
        <w:pStyle w:val="ListParagraph"/>
        <w:numPr>
          <w:ilvl w:val="0"/>
          <w:numId w:val="7"/>
        </w:numPr>
        <w:autoSpaceDE w:val="0"/>
        <w:autoSpaceDN w:val="0"/>
        <w:adjustRightInd w:val="0"/>
        <w:spacing w:after="0" w:line="240" w:lineRule="auto"/>
        <w:ind w:left="360"/>
        <w:rPr>
          <w:rFonts w:cs="Times New Roman"/>
        </w:rPr>
      </w:pPr>
      <w:r w:rsidRPr="0047080D">
        <w:rPr>
          <w:rFonts w:cs="Times New Roman"/>
        </w:rPr>
        <w:t xml:space="preserve">“Source Energy” means all the Energy used in delivering Energy to a building, including power generation and transmission and distribution losses, to perform a specific function, such as but not limited to space conditioning, lighting, or water heating. </w:t>
      </w:r>
    </w:p>
    <w:p w14:paraId="6308A21A" w14:textId="77777777" w:rsidR="00586D6C" w:rsidRDefault="00586D6C" w:rsidP="00783BF0"/>
    <w:sectPr w:rsidR="00586D6C" w:rsidSect="0030353B">
      <w:headerReference w:type="default" r:id="rId61"/>
      <w:footerReference w:type="default" r:id="rId62"/>
      <w:headerReference w:type="first" r:id="rId63"/>
      <w:footerReference w:type="first" r:id="rId64"/>
      <w:pgSz w:w="12240" w:h="15840"/>
      <w:pgMar w:top="1440" w:right="1440" w:bottom="1260" w:left="1440" w:header="432"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02" w:author="Mattrey, Laurel" w:date="2025-05-30T14:33:00Z" w:initials="LM">
    <w:p w14:paraId="70CEF6F1" w14:textId="77777777" w:rsidR="00953848" w:rsidRDefault="00953848" w:rsidP="00953848">
      <w:pPr>
        <w:pStyle w:val="CommentText"/>
      </w:pPr>
      <w:r>
        <w:rPr>
          <w:rStyle w:val="CommentReference"/>
        </w:rPr>
        <w:annotationRef/>
      </w:r>
      <w:r>
        <w:t>Pdf that needs 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CEF6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EEE4C1" w16cex:dateUtc="2025-05-30T2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CEF6F1" w16cid:durableId="16EEE4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97C73" w14:textId="77777777" w:rsidR="000E6662" w:rsidRDefault="000E6662" w:rsidP="00105A96">
      <w:pPr>
        <w:spacing w:after="0" w:line="240" w:lineRule="auto"/>
      </w:pPr>
      <w:r>
        <w:separator/>
      </w:r>
    </w:p>
  </w:endnote>
  <w:endnote w:type="continuationSeparator" w:id="0">
    <w:p w14:paraId="745DC3A0" w14:textId="77777777" w:rsidR="000E6662" w:rsidRDefault="000E6662" w:rsidP="00105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363252"/>
      <w:docPartObj>
        <w:docPartGallery w:val="Page Numbers (Bottom of Page)"/>
        <w:docPartUnique/>
      </w:docPartObj>
    </w:sdtPr>
    <w:sdtEndPr>
      <w:rPr>
        <w:spacing w:val="60"/>
      </w:rPr>
    </w:sdtEndPr>
    <w:sdtContent>
      <w:p w14:paraId="0B975E45" w14:textId="77777777" w:rsidR="00F86FD8" w:rsidRDefault="00F86FD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CB1FA9">
          <w:rPr>
            <w:spacing w:val="60"/>
          </w:rPr>
          <w:t>Page</w:t>
        </w:r>
      </w:p>
    </w:sdtContent>
  </w:sdt>
  <w:p w14:paraId="49083184" w14:textId="655D33BF" w:rsidR="00F86FD8" w:rsidRDefault="00F86F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315B671" w14:paraId="3567C1E2" w14:textId="77777777" w:rsidTr="5315B671">
      <w:trPr>
        <w:trHeight w:val="300"/>
      </w:trPr>
      <w:tc>
        <w:tcPr>
          <w:tcW w:w="3120" w:type="dxa"/>
        </w:tcPr>
        <w:p w14:paraId="6826E782" w14:textId="54325513" w:rsidR="5315B671" w:rsidRDefault="5315B671" w:rsidP="5315B671">
          <w:pPr>
            <w:pStyle w:val="Header"/>
            <w:ind w:left="-115"/>
          </w:pPr>
        </w:p>
      </w:tc>
      <w:tc>
        <w:tcPr>
          <w:tcW w:w="3120" w:type="dxa"/>
        </w:tcPr>
        <w:p w14:paraId="6DBB66C8" w14:textId="16805129" w:rsidR="5315B671" w:rsidRDefault="5315B671" w:rsidP="5315B671">
          <w:pPr>
            <w:pStyle w:val="Header"/>
            <w:jc w:val="center"/>
          </w:pPr>
        </w:p>
      </w:tc>
      <w:tc>
        <w:tcPr>
          <w:tcW w:w="3120" w:type="dxa"/>
        </w:tcPr>
        <w:p w14:paraId="2B92BF2D" w14:textId="72328EE4" w:rsidR="5315B671" w:rsidRDefault="5315B671" w:rsidP="5315B671">
          <w:pPr>
            <w:pStyle w:val="Header"/>
            <w:ind w:right="-115"/>
            <w:jc w:val="right"/>
          </w:pPr>
        </w:p>
      </w:tc>
    </w:tr>
  </w:tbl>
  <w:p w14:paraId="47DC8C3E" w14:textId="33595FBF" w:rsidR="5315B671" w:rsidRDefault="5315B671" w:rsidP="5315B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10C30" w14:textId="77777777" w:rsidR="000E6662" w:rsidRDefault="000E6662" w:rsidP="00105A96">
      <w:pPr>
        <w:spacing w:after="0" w:line="240" w:lineRule="auto"/>
      </w:pPr>
      <w:r>
        <w:separator/>
      </w:r>
    </w:p>
  </w:footnote>
  <w:footnote w:type="continuationSeparator" w:id="0">
    <w:p w14:paraId="0CA4D75D" w14:textId="77777777" w:rsidR="000E6662" w:rsidRDefault="000E6662" w:rsidP="00105A96">
      <w:pPr>
        <w:spacing w:after="0" w:line="240" w:lineRule="auto"/>
      </w:pPr>
      <w:r>
        <w:continuationSeparator/>
      </w:r>
    </w:p>
  </w:footnote>
  <w:footnote w:id="1">
    <w:p w14:paraId="74425F78" w14:textId="1417E535" w:rsidR="00F86FD8" w:rsidRDefault="00F86FD8">
      <w:pPr>
        <w:pStyle w:val="FootnoteText"/>
      </w:pPr>
      <w:r>
        <w:rPr>
          <w:rStyle w:val="FootnoteReference"/>
        </w:rPr>
        <w:footnoteRef/>
      </w:r>
      <w:r>
        <w:t xml:space="preserve"> The Boulder Revised Code is available at: </w:t>
      </w:r>
      <w:hyperlink r:id="rId1" w:history="1">
        <w:r w:rsidR="006B49A8" w:rsidRPr="000D3AA8">
          <w:rPr>
            <w:rStyle w:val="Hyperlink"/>
          </w:rPr>
          <w:t>https://library.municode.com/co/boulder/codes/municipal_code</w:t>
        </w:r>
      </w:hyperlink>
      <w:r w:rsidR="006B49A8">
        <w:t xml:space="preserve"> </w:t>
      </w:r>
      <w:r>
        <w:t xml:space="preserve"> </w:t>
      </w:r>
    </w:p>
  </w:footnote>
  <w:footnote w:id="2">
    <w:p w14:paraId="315577D4" w14:textId="77777777" w:rsidR="00F86FD8" w:rsidRDefault="00F86FD8">
      <w:pPr>
        <w:pStyle w:val="FootnoteText"/>
      </w:pPr>
      <w:r>
        <w:rPr>
          <w:rStyle w:val="FootnoteReference"/>
        </w:rPr>
        <w:footnoteRef/>
      </w:r>
      <w:r>
        <w:t xml:space="preserve"> Additional information including Frequently Asked Questions can be found at </w:t>
      </w:r>
      <w:hyperlink r:id="rId2" w:history="1">
        <w:r w:rsidRPr="008130B5">
          <w:rPr>
            <w:rStyle w:val="Hyperlink"/>
          </w:rPr>
          <w:t>www.BoulderBuildingPerformance.com</w:t>
        </w:r>
      </w:hyperlink>
      <w:r>
        <w:t xml:space="preserve"> </w:t>
      </w:r>
    </w:p>
  </w:footnote>
  <w:footnote w:id="3">
    <w:p w14:paraId="36E2D5F6" w14:textId="6D010BC5" w:rsidR="00F86FD8" w:rsidRDefault="00F86FD8">
      <w:pPr>
        <w:pStyle w:val="FootnoteText"/>
      </w:pPr>
      <w:r>
        <w:rPr>
          <w:rStyle w:val="FootnoteReference"/>
        </w:rPr>
        <w:footnoteRef/>
      </w:r>
      <w:r>
        <w:t xml:space="preserve"> </w:t>
      </w:r>
      <w:r w:rsidRPr="00C844A7">
        <w:t xml:space="preserve">See the Xcel Energy website to verify program offerings: </w:t>
      </w:r>
      <w:hyperlink r:id="rId3" w:history="1">
        <w:r w:rsidR="00340B14" w:rsidRPr="00966349">
          <w:rPr>
            <w:rStyle w:val="Hyperlink"/>
          </w:rPr>
          <w:t>https://co.my.xcelenergy.com/s/business/cost-savings</w:t>
        </w:r>
      </w:hyperlink>
      <w:r w:rsidR="00340B14">
        <w:t xml:space="preserve"> </w:t>
      </w:r>
      <w:r w:rsidR="003D51A6">
        <w:t xml:space="preserve"> </w:t>
      </w:r>
    </w:p>
  </w:footnote>
  <w:footnote w:id="4">
    <w:p w14:paraId="7DF19413" w14:textId="77777777" w:rsidR="00324ADD" w:rsidRDefault="00F86FD8" w:rsidP="00324ADD">
      <w:pPr>
        <w:pStyle w:val="FootnoteText"/>
      </w:pPr>
      <w:r>
        <w:rPr>
          <w:rStyle w:val="FootnoteReference"/>
        </w:rPr>
        <w:footnoteRef/>
      </w:r>
      <w:r>
        <w:t xml:space="preserve"> </w:t>
      </w:r>
      <w:r w:rsidRPr="00C844A7">
        <w:t>As part of the bidding process for a Level II energy assessment, the service provider must conduct a preliminary assessment to scope and price the assessment, including a quick evaluation of potential for RCx at the building (see</w:t>
      </w:r>
      <w:r w:rsidRPr="00C844A7">
        <w:fldChar w:fldCharType="begin"/>
      </w:r>
      <w:r w:rsidRPr="00C844A7">
        <w:instrText xml:space="preserve"> REF _Ref446942133 \h  \* MERGEFORMAT </w:instrText>
      </w:r>
      <w:r w:rsidRPr="00C844A7">
        <w:fldChar w:fldCharType="separate"/>
      </w:r>
    </w:p>
    <w:p w14:paraId="3736FEF5" w14:textId="726D0CF7" w:rsidR="00F86FD8" w:rsidRPr="00193016" w:rsidRDefault="00324ADD" w:rsidP="00E050C0">
      <w:pPr>
        <w:pStyle w:val="FootnoteText"/>
      </w:pPr>
      <w:r w:rsidRPr="00CB1FA9">
        <w:rPr>
          <w:rStyle w:val="QuoteChar"/>
          <w:b/>
          <w:color w:val="auto"/>
        </w:rPr>
        <w:t>2.5.2</w:t>
      </w:r>
      <w:r w:rsidRPr="00CB1FA9">
        <w:rPr>
          <w:rStyle w:val="QuoteChar"/>
          <w:b/>
          <w:color w:val="auto"/>
        </w:rPr>
        <w:tab/>
        <w:t>Service Provider Responsibilities</w:t>
      </w:r>
      <w:r w:rsidR="00F86FD8" w:rsidRPr="00C844A7">
        <w:fldChar w:fldCharType="end"/>
      </w:r>
      <w:r w:rsidR="00F86FD8" w:rsidRPr="00E050C0">
        <w:t xml:space="preserve"> </w:t>
      </w:r>
      <w:r w:rsidR="00F86FD8" w:rsidRPr="00C844A7">
        <w:t xml:space="preserve">for additional information). </w:t>
      </w:r>
    </w:p>
    <w:p w14:paraId="53DFC682" w14:textId="77777777" w:rsidR="00F86FD8" w:rsidRDefault="00F86FD8">
      <w:pPr>
        <w:pStyle w:val="FootnoteText"/>
      </w:pPr>
    </w:p>
  </w:footnote>
  <w:footnote w:id="5">
    <w:p w14:paraId="4ACF4A55" w14:textId="77777777" w:rsidR="00F86FD8" w:rsidRDefault="00F86FD8" w:rsidP="00DD58B8">
      <w:pPr>
        <w:pStyle w:val="FootnoteText"/>
      </w:pPr>
      <w:r>
        <w:rPr>
          <w:rStyle w:val="FootnoteReference"/>
        </w:rPr>
        <w:footnoteRef/>
      </w:r>
      <w:r>
        <w:t xml:space="preserve"> ASHRAE, “Procedures for Commercial Building Energy Audits”, second edition, 2011.</w:t>
      </w:r>
    </w:p>
  </w:footnote>
  <w:footnote w:id="6">
    <w:p w14:paraId="0D63884E" w14:textId="77777777" w:rsidR="00F86FD8" w:rsidRDefault="00F86FD8" w:rsidP="00DD58B8">
      <w:pPr>
        <w:pStyle w:val="FootnoteText"/>
      </w:pPr>
      <w:r>
        <w:rPr>
          <w:rStyle w:val="FootnoteReference"/>
        </w:rPr>
        <w:footnoteRef/>
      </w:r>
      <w:r>
        <w:t xml:space="preserve"> “Investor Confidence Project”, Commercial Protocols, </w:t>
      </w:r>
      <w:r w:rsidRPr="00A71E36">
        <w:t>http://www.eeperformance.org/project-development.html</w:t>
      </w:r>
    </w:p>
  </w:footnote>
  <w:footnote w:id="7">
    <w:p w14:paraId="3E70E19E" w14:textId="77777777" w:rsidR="00F86FD8" w:rsidRDefault="00F86FD8" w:rsidP="005E4DDE">
      <w:pPr>
        <w:pStyle w:val="FootnoteText"/>
      </w:pPr>
      <w:r>
        <w:rPr>
          <w:rStyle w:val="FootnoteReference"/>
        </w:rPr>
        <w:footnoteRef/>
      </w:r>
      <w:r>
        <w:t xml:space="preserve"> The term “recommissioning” is often used interchangeably with “retrocommissioning.” Both terms refer to the process of bringing a building’s operations in line with the intent of the original and optimal design.</w:t>
      </w:r>
    </w:p>
  </w:footnote>
  <w:footnote w:id="8">
    <w:p w14:paraId="1D17815F" w14:textId="4C5A1B5F" w:rsidR="00F86FD8" w:rsidRDefault="00F86FD8">
      <w:pPr>
        <w:pStyle w:val="FootnoteText"/>
      </w:pPr>
      <w:r>
        <w:rPr>
          <w:rStyle w:val="FootnoteReference"/>
        </w:rPr>
        <w:footnoteRef/>
      </w:r>
      <w:r>
        <w:t xml:space="preserve"> If a building owner applies for a local utility program and is denied participation in the program because it is not applicable/no opportunities are identified, this may be cause for an exemption. See the Exemption Reference Guide for more information: </w:t>
      </w:r>
      <w:hyperlink r:id="rId4" w:history="1">
        <w:r w:rsidR="00F918E7" w:rsidRPr="000D3AA8">
          <w:rPr>
            <w:rStyle w:val="Hyperlink"/>
          </w:rPr>
          <w:t>https://bouldercolorado.gov/sites/default/files/2020-12/bpoefficiencyreqhowtoguideforboulder2020sept-1-2020.pdf</w:t>
        </w:r>
      </w:hyperlink>
      <w:r w:rsidR="00F918E7">
        <w:t xml:space="preserve"> </w:t>
      </w:r>
    </w:p>
  </w:footnote>
  <w:footnote w:id="9">
    <w:p w14:paraId="76165C81" w14:textId="77777777" w:rsidR="00F86FD8" w:rsidRPr="0035185F" w:rsidRDefault="00F86FD8" w:rsidP="009021C3">
      <w:pPr>
        <w:pStyle w:val="FootnoteText"/>
      </w:pPr>
      <w:r>
        <w:rPr>
          <w:rStyle w:val="FootnoteReference"/>
        </w:rPr>
        <w:footnoteRef/>
      </w:r>
      <w:r>
        <w:t xml:space="preserve"> </w:t>
      </w:r>
      <w:r w:rsidRPr="0035185F">
        <w:t>The ordinance requires</w:t>
      </w:r>
      <w:r>
        <w:t xml:space="preserve"> that tenants provide </w:t>
      </w:r>
      <w:r w:rsidRPr="0035185F">
        <w:t>access to tenant space within 30 days of request, so allow time in your plan for this advance notice and discuss with your tenants and provider.</w:t>
      </w:r>
    </w:p>
    <w:p w14:paraId="52E7A617" w14:textId="77777777" w:rsidR="00F86FD8" w:rsidRDefault="00F86FD8">
      <w:pPr>
        <w:pStyle w:val="FootnoteText"/>
      </w:pPr>
    </w:p>
  </w:footnote>
  <w:footnote w:id="10">
    <w:p w14:paraId="1BDBA97B" w14:textId="77777777" w:rsidR="00F86FD8" w:rsidRDefault="00F86FD8">
      <w:pPr>
        <w:pStyle w:val="FootnoteText"/>
      </w:pPr>
      <w:r>
        <w:rPr>
          <w:rStyle w:val="FootnoteReference"/>
        </w:rPr>
        <w:footnoteRef/>
      </w:r>
      <w:r>
        <w:t xml:space="preserve"> If a report contains confidential information about building operations that a building owner does not want to provide to the city, upon request the city may allow the owner to provide only the required information through completion of a separate reporting template in lieu of submitting the entire report. </w:t>
      </w:r>
    </w:p>
  </w:footnote>
  <w:footnote w:id="11">
    <w:p w14:paraId="7C322E5E" w14:textId="27113F76" w:rsidR="00F86FD8" w:rsidRPr="003B228B" w:rsidRDefault="00F86FD8" w:rsidP="001177FA">
      <w:pPr>
        <w:pStyle w:val="FootnoteText"/>
      </w:pPr>
      <w:r>
        <w:rPr>
          <w:rStyle w:val="FootnoteReference"/>
        </w:rPr>
        <w:footnoteRef/>
      </w:r>
      <w:r>
        <w:t xml:space="preserve"> </w:t>
      </w:r>
      <w:r w:rsidRPr="003B228B">
        <w:t xml:space="preserve">Any exterior lighting upgrades must also comply with the </w:t>
      </w:r>
      <w:hyperlink r:id="rId5" w:history="1">
        <w:r w:rsidRPr="003B228B">
          <w:rPr>
            <w:rStyle w:val="Hyperlink"/>
          </w:rPr>
          <w:t>City of Boulder Outdoor Lighting Ordinance</w:t>
        </w:r>
      </w:hyperlink>
      <w:r w:rsidRPr="003B228B">
        <w:t xml:space="preserve"> passed in 2003 that seeks to prevent light trespass, reduce light pollution, reduce excessive glare, promote energy conservation, and improve safety and security. </w:t>
      </w:r>
    </w:p>
    <w:p w14:paraId="2C29D56B" w14:textId="77777777" w:rsidR="00F86FD8" w:rsidRDefault="00F86FD8" w:rsidP="001177FA">
      <w:pPr>
        <w:pStyle w:val="FootnoteText"/>
      </w:pPr>
    </w:p>
  </w:footnote>
  <w:footnote w:id="12">
    <w:p w14:paraId="1112EECC" w14:textId="77777777" w:rsidR="00F86FD8" w:rsidRDefault="00F86FD8" w:rsidP="00D27B37">
      <w:pPr>
        <w:pStyle w:val="FootnoteText"/>
      </w:pPr>
      <w:r>
        <w:rPr>
          <w:rStyle w:val="FootnoteReference"/>
        </w:rPr>
        <w:footnoteRef/>
      </w:r>
      <w:r>
        <w:t xml:space="preserve"> </w:t>
      </w:r>
      <w:r w:rsidRPr="0035185F">
        <w:t>The ordinance requires</w:t>
      </w:r>
      <w:r>
        <w:t xml:space="preserve"> that tenants provide </w:t>
      </w:r>
      <w:r w:rsidRPr="0035185F">
        <w:t xml:space="preserve">access to tenant space within 30 days of request, so allow time in your plan for this advance notice and discuss </w:t>
      </w:r>
      <w:r>
        <w:t>with your tenants and provider.</w:t>
      </w:r>
    </w:p>
  </w:footnote>
  <w:footnote w:id="13">
    <w:p w14:paraId="1E5FBE36" w14:textId="77777777" w:rsidR="00F86FD8" w:rsidRDefault="00F86FD8" w:rsidP="006E2033">
      <w:pPr>
        <w:pStyle w:val="FootnoteText"/>
        <w:tabs>
          <w:tab w:val="left" w:pos="2016"/>
        </w:tabs>
      </w:pPr>
      <w:r>
        <w:rPr>
          <w:rStyle w:val="FootnoteReference"/>
        </w:rPr>
        <w:footnoteRef/>
      </w:r>
      <w:r>
        <w:t xml:space="preserve"> </w:t>
      </w:r>
      <w:hyperlink r:id="rId6" w:history="1">
        <w:r w:rsidRPr="006E2033">
          <w:rPr>
            <w:rStyle w:val="Hyperlink"/>
          </w:rPr>
          <w:t>COM</w:t>
        </w:r>
        <w:r w:rsidRPr="006E2033">
          <w:rPr>
            <w:rStyle w:val="Hyperlink"/>
            <w:i/>
          </w:rPr>
          <w:t>check</w:t>
        </w:r>
        <w:r w:rsidRPr="006E2033">
          <w:rPr>
            <w:rStyle w:val="Hyperlink"/>
            <w:vertAlign w:val="superscript"/>
          </w:rPr>
          <w:t>TM</w:t>
        </w:r>
      </w:hyperlink>
      <w:r>
        <w:t xml:space="preserve"> is a Dept. of Energy tool that simplifies the process of determining whether a building meets IECC requirements, as well as other code requirements. </w:t>
      </w:r>
      <w:r>
        <w:rPr>
          <w:vertAlign w:val="superscript"/>
        </w:rPr>
        <w:t xml:space="preserve"> </w:t>
      </w:r>
    </w:p>
  </w:footnote>
  <w:footnote w:id="14">
    <w:p w14:paraId="0EFCBB95" w14:textId="77777777" w:rsidR="00F86FD8" w:rsidRDefault="00F86FD8">
      <w:pPr>
        <w:pStyle w:val="FootnoteText"/>
      </w:pPr>
      <w:r>
        <w:rPr>
          <w:rStyle w:val="FootnoteReference"/>
        </w:rPr>
        <w:footnoteRef/>
      </w:r>
      <w:r>
        <w:t xml:space="preserve"> Calibration equipment should follow the </w:t>
      </w:r>
      <w:hyperlink r:id="rId7" w:history="1">
        <w:r w:rsidRPr="00B37E74">
          <w:rPr>
            <w:rStyle w:val="Hyperlink"/>
          </w:rPr>
          <w:t>N</w:t>
        </w:r>
        <w:r>
          <w:rPr>
            <w:rStyle w:val="Hyperlink"/>
          </w:rPr>
          <w:t xml:space="preserve">ational Institute of </w:t>
        </w:r>
        <w:r w:rsidRPr="00B37E74">
          <w:rPr>
            <w:rStyle w:val="Hyperlink"/>
          </w:rPr>
          <w:t>S</w:t>
        </w:r>
        <w:r>
          <w:rPr>
            <w:rStyle w:val="Hyperlink"/>
          </w:rPr>
          <w:t xml:space="preserve">cience and </w:t>
        </w:r>
        <w:r w:rsidRPr="00B37E74">
          <w:rPr>
            <w:rStyle w:val="Hyperlink"/>
          </w:rPr>
          <w:t>T</w:t>
        </w:r>
        <w:r>
          <w:rPr>
            <w:rStyle w:val="Hyperlink"/>
          </w:rPr>
          <w:t>echnology</w:t>
        </w:r>
        <w:r w:rsidRPr="00B37E74">
          <w:rPr>
            <w:rStyle w:val="Hyperlink"/>
          </w:rPr>
          <w:t xml:space="preserve"> Traceab</w:t>
        </w:r>
        <w:r>
          <w:rPr>
            <w:rStyle w:val="Hyperlink"/>
          </w:rPr>
          <w:t>ility</w:t>
        </w:r>
      </w:hyperlink>
      <w:r>
        <w:t xml:space="preserve"> 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BBE4" w14:textId="77576B02" w:rsidR="00F86FD8" w:rsidRPr="00735B33" w:rsidRDefault="00F86FD8" w:rsidP="00EC52CE">
    <w:pPr>
      <w:pStyle w:val="Header"/>
      <w:rPr>
        <w:b/>
      </w:rPr>
    </w:pPr>
    <w:r w:rsidRPr="00735B33">
      <w:rPr>
        <w:b/>
      </w:rPr>
      <w:t xml:space="preserve">Boulder Building Performance Ordinance: Efficiency Requirements How-To Guide </w:t>
    </w:r>
  </w:p>
  <w:p w14:paraId="0399FDDD" w14:textId="734B613B" w:rsidR="00F86FD8" w:rsidRPr="00735B33" w:rsidRDefault="00F476AF" w:rsidP="00EC52CE">
    <w:pPr>
      <w:pStyle w:val="Header"/>
      <w:rPr>
        <w:i/>
      </w:rPr>
    </w:pPr>
    <w:r w:rsidRPr="00735B33">
      <w:rPr>
        <w:i/>
      </w:rPr>
      <w:t>May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315B671" w14:paraId="4A0063DB" w14:textId="77777777" w:rsidTr="5315B671">
      <w:trPr>
        <w:trHeight w:val="300"/>
      </w:trPr>
      <w:tc>
        <w:tcPr>
          <w:tcW w:w="3120" w:type="dxa"/>
        </w:tcPr>
        <w:p w14:paraId="031521F0" w14:textId="2AAF67C8" w:rsidR="5315B671" w:rsidRDefault="5315B671" w:rsidP="5315B671">
          <w:pPr>
            <w:pStyle w:val="Header"/>
            <w:ind w:left="-115"/>
          </w:pPr>
        </w:p>
      </w:tc>
      <w:tc>
        <w:tcPr>
          <w:tcW w:w="3120" w:type="dxa"/>
        </w:tcPr>
        <w:p w14:paraId="42FEF703" w14:textId="27D88918" w:rsidR="5315B671" w:rsidRDefault="5315B671" w:rsidP="5315B671">
          <w:pPr>
            <w:pStyle w:val="Header"/>
            <w:jc w:val="center"/>
          </w:pPr>
        </w:p>
      </w:tc>
      <w:tc>
        <w:tcPr>
          <w:tcW w:w="3120" w:type="dxa"/>
        </w:tcPr>
        <w:p w14:paraId="502A8674" w14:textId="1FDCBC04" w:rsidR="5315B671" w:rsidRDefault="5315B671" w:rsidP="5315B671">
          <w:pPr>
            <w:pStyle w:val="Header"/>
            <w:ind w:right="-115"/>
            <w:jc w:val="right"/>
          </w:pPr>
        </w:p>
      </w:tc>
    </w:tr>
  </w:tbl>
  <w:p w14:paraId="2779893D" w14:textId="59B486B0" w:rsidR="5315B671" w:rsidRDefault="5315B671" w:rsidP="5315B6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FFE"/>
    <w:multiLevelType w:val="hybridMultilevel"/>
    <w:tmpl w:val="45E02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950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9D44E7"/>
    <w:multiLevelType w:val="hybridMultilevel"/>
    <w:tmpl w:val="9DE877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57CF4"/>
    <w:multiLevelType w:val="hybridMultilevel"/>
    <w:tmpl w:val="75E8B0E4"/>
    <w:lvl w:ilvl="0" w:tplc="AC68AE88">
      <w:start w:val="1"/>
      <w:numFmt w:val="decimal"/>
      <w:lvlText w:val="%1."/>
      <w:lvlJc w:val="left"/>
      <w:pPr>
        <w:ind w:left="720" w:hanging="360"/>
      </w:pPr>
      <w:rPr>
        <w:b/>
        <w:color w:val="FF0000"/>
        <w:sz w:val="24"/>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145B3"/>
    <w:multiLevelType w:val="hybridMultilevel"/>
    <w:tmpl w:val="2D8E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146E7"/>
    <w:multiLevelType w:val="hybridMultilevel"/>
    <w:tmpl w:val="09960D24"/>
    <w:lvl w:ilvl="0" w:tplc="8C0C4494">
      <w:start w:val="1"/>
      <w:numFmt w:val="bullet"/>
      <w:lvlText w:val=""/>
      <w:lvlJc w:val="left"/>
      <w:pPr>
        <w:ind w:left="720" w:hanging="360"/>
      </w:pPr>
      <w:rPr>
        <w:rFonts w:ascii="Symbol" w:hAnsi="Symbol" w:hint="default"/>
        <w:color w:val="006666"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91FA3"/>
    <w:multiLevelType w:val="hybridMultilevel"/>
    <w:tmpl w:val="23802C70"/>
    <w:lvl w:ilvl="0" w:tplc="0BA067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335FB0"/>
    <w:multiLevelType w:val="hybridMultilevel"/>
    <w:tmpl w:val="7E6A2EC8"/>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8" w15:restartNumberingAfterBreak="0">
    <w:nsid w:val="161C6320"/>
    <w:multiLevelType w:val="hybridMultilevel"/>
    <w:tmpl w:val="2DBA85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53405"/>
    <w:multiLevelType w:val="hybridMultilevel"/>
    <w:tmpl w:val="CC78BC8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BB93B32"/>
    <w:multiLevelType w:val="hybridMultilevel"/>
    <w:tmpl w:val="63484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D461B"/>
    <w:multiLevelType w:val="hybridMultilevel"/>
    <w:tmpl w:val="45E02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726629"/>
    <w:multiLevelType w:val="hybridMultilevel"/>
    <w:tmpl w:val="23802C70"/>
    <w:lvl w:ilvl="0" w:tplc="0BA067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953A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EA6A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80D2E60"/>
    <w:multiLevelType w:val="hybridMultilevel"/>
    <w:tmpl w:val="94087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C225E1"/>
    <w:multiLevelType w:val="hybridMultilevel"/>
    <w:tmpl w:val="23802C70"/>
    <w:lvl w:ilvl="0" w:tplc="0BA067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4002E2"/>
    <w:multiLevelType w:val="multilevel"/>
    <w:tmpl w:val="9182C342"/>
    <w:lvl w:ilvl="0">
      <w:start w:val="1"/>
      <w:numFmt w:val="decimal"/>
      <w:lvlText w:val="%1."/>
      <w:lvlJc w:val="left"/>
      <w:pPr>
        <w:ind w:left="360" w:hanging="360"/>
      </w:pPr>
    </w:lvl>
    <w:lvl w:ilvl="1">
      <w:start w:val="1"/>
      <w:numFmt w:val="decimal"/>
      <w:lvlText w:val="%1.%2."/>
      <w:lvlJc w:val="left"/>
      <w:pPr>
        <w:ind w:left="792" w:hanging="432"/>
      </w:pPr>
      <w:rPr>
        <w:rFonts w:hint="default"/>
        <w:color w:val="003333" w:themeColor="accent6" w:themeShade="8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B2310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15547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37B40DB"/>
    <w:multiLevelType w:val="hybridMultilevel"/>
    <w:tmpl w:val="AF889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0302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83039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83A5628"/>
    <w:multiLevelType w:val="hybridMultilevel"/>
    <w:tmpl w:val="9DE87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F6441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50040D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C773B0E"/>
    <w:multiLevelType w:val="multilevel"/>
    <w:tmpl w:val="A39C0DDC"/>
    <w:lvl w:ilvl="0">
      <w:start w:val="1"/>
      <w:numFmt w:val="decimal"/>
      <w:lvlText w:val="%1."/>
      <w:lvlJc w:val="left"/>
      <w:pPr>
        <w:ind w:left="360" w:hanging="360"/>
      </w:pPr>
    </w:lvl>
    <w:lvl w:ilvl="1">
      <w:start w:val="1"/>
      <w:numFmt w:val="decimal"/>
      <w:lvlText w:val="%1.%2."/>
      <w:lvlJc w:val="left"/>
      <w:pPr>
        <w:ind w:left="792" w:hanging="432"/>
      </w:pPr>
      <w:rPr>
        <w:rFonts w:hint="default"/>
        <w:color w:val="003333" w:themeColor="accent6" w:themeShade="8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CC67ED0"/>
    <w:multiLevelType w:val="multilevel"/>
    <w:tmpl w:val="8D5EF14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640BC7"/>
    <w:multiLevelType w:val="hybridMultilevel"/>
    <w:tmpl w:val="FC78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2342C"/>
    <w:multiLevelType w:val="hybridMultilevel"/>
    <w:tmpl w:val="07C2FC12"/>
    <w:lvl w:ilvl="0" w:tplc="D6AE6344">
      <w:start w:val="1"/>
      <w:numFmt w:val="decimal"/>
      <w:lvlText w:val="%1."/>
      <w:lvlJc w:val="left"/>
      <w:pPr>
        <w:ind w:left="720" w:hanging="360"/>
      </w:pPr>
      <w:rPr>
        <w:rFonts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792A4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7DE180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8BA2022"/>
    <w:multiLevelType w:val="hybridMultilevel"/>
    <w:tmpl w:val="FF7A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C79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BB74623"/>
    <w:multiLevelType w:val="multilevel"/>
    <w:tmpl w:val="E5E63C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5BEB11C0"/>
    <w:multiLevelType w:val="hybridMultilevel"/>
    <w:tmpl w:val="4FAE1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4B573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E011590"/>
    <w:multiLevelType w:val="hybridMultilevel"/>
    <w:tmpl w:val="CEC278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D024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03403F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13049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37F5B7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9AD6644"/>
    <w:multiLevelType w:val="hybridMultilevel"/>
    <w:tmpl w:val="2D2C6CCC"/>
    <w:lvl w:ilvl="0" w:tplc="7F4042F2">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BB68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DF067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59348B7"/>
    <w:multiLevelType w:val="hybridMultilevel"/>
    <w:tmpl w:val="C964AC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895A6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9FD2B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EF540A2"/>
    <w:multiLevelType w:val="hybridMultilevel"/>
    <w:tmpl w:val="23802C70"/>
    <w:lvl w:ilvl="0" w:tplc="0BA067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F925920"/>
    <w:multiLevelType w:val="hybridMultilevel"/>
    <w:tmpl w:val="23802C70"/>
    <w:lvl w:ilvl="0" w:tplc="0BA067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5198675">
    <w:abstractNumId w:val="23"/>
  </w:num>
  <w:num w:numId="2" w16cid:durableId="563373176">
    <w:abstractNumId w:val="16"/>
  </w:num>
  <w:num w:numId="3" w16cid:durableId="355690501">
    <w:abstractNumId w:val="12"/>
  </w:num>
  <w:num w:numId="4" w16cid:durableId="961497570">
    <w:abstractNumId w:val="6"/>
  </w:num>
  <w:num w:numId="5" w16cid:durableId="73280887">
    <w:abstractNumId w:val="49"/>
  </w:num>
  <w:num w:numId="6" w16cid:durableId="1764186821">
    <w:abstractNumId w:val="48"/>
  </w:num>
  <w:num w:numId="7" w16cid:durableId="2074690952">
    <w:abstractNumId w:val="10"/>
  </w:num>
  <w:num w:numId="8" w16cid:durableId="1140226243">
    <w:abstractNumId w:val="7"/>
  </w:num>
  <w:num w:numId="9" w16cid:durableId="1098255209">
    <w:abstractNumId w:val="2"/>
  </w:num>
  <w:num w:numId="10" w16cid:durableId="549195471">
    <w:abstractNumId w:val="8"/>
  </w:num>
  <w:num w:numId="11" w16cid:durableId="1097823519">
    <w:abstractNumId w:val="17"/>
  </w:num>
  <w:num w:numId="12" w16cid:durableId="2110419468">
    <w:abstractNumId w:val="0"/>
  </w:num>
  <w:num w:numId="13" w16cid:durableId="1602177290">
    <w:abstractNumId w:val="11"/>
  </w:num>
  <w:num w:numId="14" w16cid:durableId="1120416797">
    <w:abstractNumId w:val="29"/>
  </w:num>
  <w:num w:numId="15" w16cid:durableId="400835836">
    <w:abstractNumId w:val="5"/>
  </w:num>
  <w:num w:numId="16" w16cid:durableId="1318998952">
    <w:abstractNumId w:val="13"/>
  </w:num>
  <w:num w:numId="17" w16cid:durableId="1721175518">
    <w:abstractNumId w:val="46"/>
  </w:num>
  <w:num w:numId="18" w16cid:durableId="339696137">
    <w:abstractNumId w:val="1"/>
  </w:num>
  <w:num w:numId="19" w16cid:durableId="1191605531">
    <w:abstractNumId w:val="18"/>
  </w:num>
  <w:num w:numId="20" w16cid:durableId="2030450351">
    <w:abstractNumId w:val="33"/>
  </w:num>
  <w:num w:numId="21" w16cid:durableId="361249154">
    <w:abstractNumId w:val="22"/>
  </w:num>
  <w:num w:numId="22" w16cid:durableId="824007466">
    <w:abstractNumId w:val="21"/>
  </w:num>
  <w:num w:numId="23" w16cid:durableId="608468507">
    <w:abstractNumId w:val="47"/>
  </w:num>
  <w:num w:numId="24" w16cid:durableId="1549417744">
    <w:abstractNumId w:val="25"/>
  </w:num>
  <w:num w:numId="25" w16cid:durableId="553391697">
    <w:abstractNumId w:val="19"/>
  </w:num>
  <w:num w:numId="26" w16cid:durableId="269239136">
    <w:abstractNumId w:val="43"/>
  </w:num>
  <w:num w:numId="27" w16cid:durableId="2129467799">
    <w:abstractNumId w:val="40"/>
  </w:num>
  <w:num w:numId="28" w16cid:durableId="404037004">
    <w:abstractNumId w:val="39"/>
  </w:num>
  <w:num w:numId="29" w16cid:durableId="1215697432">
    <w:abstractNumId w:val="27"/>
  </w:num>
  <w:num w:numId="30" w16cid:durableId="403914086">
    <w:abstractNumId w:val="31"/>
  </w:num>
  <w:num w:numId="31" w16cid:durableId="349524832">
    <w:abstractNumId w:val="30"/>
  </w:num>
  <w:num w:numId="32" w16cid:durableId="1430195088">
    <w:abstractNumId w:val="14"/>
  </w:num>
  <w:num w:numId="33" w16cid:durableId="1951084934">
    <w:abstractNumId w:val="44"/>
  </w:num>
  <w:num w:numId="34" w16cid:durableId="925924573">
    <w:abstractNumId w:val="4"/>
  </w:num>
  <w:num w:numId="35" w16cid:durableId="1897621227">
    <w:abstractNumId w:val="37"/>
  </w:num>
  <w:num w:numId="36" w16cid:durableId="1323585182">
    <w:abstractNumId w:val="36"/>
  </w:num>
  <w:num w:numId="37" w16cid:durableId="696274245">
    <w:abstractNumId w:val="38"/>
  </w:num>
  <w:num w:numId="38" w16cid:durableId="1675451077">
    <w:abstractNumId w:val="41"/>
  </w:num>
  <w:num w:numId="39" w16cid:durableId="482283741">
    <w:abstractNumId w:val="3"/>
  </w:num>
  <w:num w:numId="40" w16cid:durableId="1675960375">
    <w:abstractNumId w:val="32"/>
  </w:num>
  <w:num w:numId="41" w16cid:durableId="542131762">
    <w:abstractNumId w:val="28"/>
  </w:num>
  <w:num w:numId="42" w16cid:durableId="1153134214">
    <w:abstractNumId w:val="15"/>
  </w:num>
  <w:num w:numId="43" w16cid:durableId="51932351">
    <w:abstractNumId w:val="35"/>
  </w:num>
  <w:num w:numId="44" w16cid:durableId="2021348793">
    <w:abstractNumId w:val="26"/>
  </w:num>
  <w:num w:numId="45" w16cid:durableId="585846294">
    <w:abstractNumId w:val="24"/>
  </w:num>
  <w:num w:numId="46" w16cid:durableId="49565338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36666984">
    <w:abstractNumId w:val="20"/>
  </w:num>
  <w:num w:numId="48" w16cid:durableId="1340547903">
    <w:abstractNumId w:val="42"/>
  </w:num>
  <w:num w:numId="49" w16cid:durableId="618876478">
    <w:abstractNumId w:val="45"/>
  </w:num>
  <w:num w:numId="50" w16cid:durableId="2066371949">
    <w:abstractNumId w:val="34"/>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trey, Laurel">
    <w15:presenceInfo w15:providerId="AD" w15:userId="S::mattreyl@bouldercolorado.gov::72462fab-a970-45fe-8dcd-da59dea15b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fill="f" fillcolor="none [3207]" strokecolor="red">
      <v:fill color="none [3207]" on="f"/>
      <v:stroke color="red" weight="3pt"/>
      <v:shadow on="t" type="perspective" color="none [1607]" opacity=".5" offset="1pt" offset2="-1pt"/>
      <o:colormru v:ext="edit" colors="#f93,#ffba75,#fdb82f,#396,teal,#fed88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67C"/>
    <w:rsid w:val="0000016E"/>
    <w:rsid w:val="00000FF1"/>
    <w:rsid w:val="000011AC"/>
    <w:rsid w:val="00001260"/>
    <w:rsid w:val="0000272A"/>
    <w:rsid w:val="00002866"/>
    <w:rsid w:val="000029E4"/>
    <w:rsid w:val="000043E8"/>
    <w:rsid w:val="00006FBA"/>
    <w:rsid w:val="00010AAF"/>
    <w:rsid w:val="000111A7"/>
    <w:rsid w:val="000113A5"/>
    <w:rsid w:val="00011A1E"/>
    <w:rsid w:val="0001230F"/>
    <w:rsid w:val="000177DD"/>
    <w:rsid w:val="00017BDD"/>
    <w:rsid w:val="00023BC4"/>
    <w:rsid w:val="000252B3"/>
    <w:rsid w:val="0002599C"/>
    <w:rsid w:val="00026C9A"/>
    <w:rsid w:val="0003094E"/>
    <w:rsid w:val="000336D8"/>
    <w:rsid w:val="00034477"/>
    <w:rsid w:val="0003491F"/>
    <w:rsid w:val="000354AC"/>
    <w:rsid w:val="00035E42"/>
    <w:rsid w:val="00036F00"/>
    <w:rsid w:val="00041AB1"/>
    <w:rsid w:val="0004219F"/>
    <w:rsid w:val="00043E34"/>
    <w:rsid w:val="00044651"/>
    <w:rsid w:val="000502FF"/>
    <w:rsid w:val="00050FA8"/>
    <w:rsid w:val="00051004"/>
    <w:rsid w:val="000520BA"/>
    <w:rsid w:val="00053C21"/>
    <w:rsid w:val="000561A1"/>
    <w:rsid w:val="000563AA"/>
    <w:rsid w:val="00061066"/>
    <w:rsid w:val="0006177E"/>
    <w:rsid w:val="000620B9"/>
    <w:rsid w:val="000636C0"/>
    <w:rsid w:val="00063990"/>
    <w:rsid w:val="00063DFB"/>
    <w:rsid w:val="00064050"/>
    <w:rsid w:val="00074EFE"/>
    <w:rsid w:val="00080240"/>
    <w:rsid w:val="000814C1"/>
    <w:rsid w:val="0008170F"/>
    <w:rsid w:val="000824E4"/>
    <w:rsid w:val="000833AC"/>
    <w:rsid w:val="00085109"/>
    <w:rsid w:val="00085D4B"/>
    <w:rsid w:val="00086835"/>
    <w:rsid w:val="00086AA4"/>
    <w:rsid w:val="00087C61"/>
    <w:rsid w:val="00090E1B"/>
    <w:rsid w:val="00090EC1"/>
    <w:rsid w:val="000918CD"/>
    <w:rsid w:val="00091AD6"/>
    <w:rsid w:val="000952D8"/>
    <w:rsid w:val="000963E5"/>
    <w:rsid w:val="000A45F3"/>
    <w:rsid w:val="000A4CB2"/>
    <w:rsid w:val="000A50C1"/>
    <w:rsid w:val="000A5596"/>
    <w:rsid w:val="000A7251"/>
    <w:rsid w:val="000B05A9"/>
    <w:rsid w:val="000B181A"/>
    <w:rsid w:val="000B2C71"/>
    <w:rsid w:val="000B3C13"/>
    <w:rsid w:val="000B3DFA"/>
    <w:rsid w:val="000B4529"/>
    <w:rsid w:val="000B45D9"/>
    <w:rsid w:val="000B4D0F"/>
    <w:rsid w:val="000B6CDB"/>
    <w:rsid w:val="000B6D23"/>
    <w:rsid w:val="000B740A"/>
    <w:rsid w:val="000B7798"/>
    <w:rsid w:val="000C0942"/>
    <w:rsid w:val="000C224E"/>
    <w:rsid w:val="000C2296"/>
    <w:rsid w:val="000C38C4"/>
    <w:rsid w:val="000C3900"/>
    <w:rsid w:val="000C7223"/>
    <w:rsid w:val="000D04A0"/>
    <w:rsid w:val="000D04C1"/>
    <w:rsid w:val="000D27A7"/>
    <w:rsid w:val="000D29BC"/>
    <w:rsid w:val="000D321D"/>
    <w:rsid w:val="000D3585"/>
    <w:rsid w:val="000D40A6"/>
    <w:rsid w:val="000D5812"/>
    <w:rsid w:val="000D5B4E"/>
    <w:rsid w:val="000D7D3F"/>
    <w:rsid w:val="000E159B"/>
    <w:rsid w:val="000E4522"/>
    <w:rsid w:val="000E4B8F"/>
    <w:rsid w:val="000E526A"/>
    <w:rsid w:val="000E60CC"/>
    <w:rsid w:val="000E6662"/>
    <w:rsid w:val="000E6F6C"/>
    <w:rsid w:val="000E712A"/>
    <w:rsid w:val="000F1527"/>
    <w:rsid w:val="000F2009"/>
    <w:rsid w:val="000F465B"/>
    <w:rsid w:val="000F4668"/>
    <w:rsid w:val="000F5DB6"/>
    <w:rsid w:val="000F5F20"/>
    <w:rsid w:val="0010168C"/>
    <w:rsid w:val="001017DC"/>
    <w:rsid w:val="00101D32"/>
    <w:rsid w:val="00103A07"/>
    <w:rsid w:val="001052E6"/>
    <w:rsid w:val="0010559A"/>
    <w:rsid w:val="00105A96"/>
    <w:rsid w:val="00110EC8"/>
    <w:rsid w:val="00111E9D"/>
    <w:rsid w:val="00113C22"/>
    <w:rsid w:val="00113D95"/>
    <w:rsid w:val="00114104"/>
    <w:rsid w:val="001148C5"/>
    <w:rsid w:val="00116BBB"/>
    <w:rsid w:val="001177FA"/>
    <w:rsid w:val="00126908"/>
    <w:rsid w:val="00126E2F"/>
    <w:rsid w:val="0013120B"/>
    <w:rsid w:val="00132972"/>
    <w:rsid w:val="00132DA9"/>
    <w:rsid w:val="00134260"/>
    <w:rsid w:val="00134B1B"/>
    <w:rsid w:val="00136501"/>
    <w:rsid w:val="00136667"/>
    <w:rsid w:val="00136B61"/>
    <w:rsid w:val="00136B67"/>
    <w:rsid w:val="001404DC"/>
    <w:rsid w:val="00140EE9"/>
    <w:rsid w:val="00141669"/>
    <w:rsid w:val="00144841"/>
    <w:rsid w:val="00144D2B"/>
    <w:rsid w:val="00144D59"/>
    <w:rsid w:val="001479DA"/>
    <w:rsid w:val="00151504"/>
    <w:rsid w:val="001520A4"/>
    <w:rsid w:val="00153D98"/>
    <w:rsid w:val="00155154"/>
    <w:rsid w:val="00155997"/>
    <w:rsid w:val="001613D3"/>
    <w:rsid w:val="00161548"/>
    <w:rsid w:val="00161F04"/>
    <w:rsid w:val="001620F0"/>
    <w:rsid w:val="00162A66"/>
    <w:rsid w:val="00162BA5"/>
    <w:rsid w:val="00163BBD"/>
    <w:rsid w:val="001643A9"/>
    <w:rsid w:val="00164892"/>
    <w:rsid w:val="0016549B"/>
    <w:rsid w:val="0016591A"/>
    <w:rsid w:val="00166DD6"/>
    <w:rsid w:val="001726C5"/>
    <w:rsid w:val="001754E8"/>
    <w:rsid w:val="001758B3"/>
    <w:rsid w:val="00176A5F"/>
    <w:rsid w:val="00176D46"/>
    <w:rsid w:val="001809AF"/>
    <w:rsid w:val="00184212"/>
    <w:rsid w:val="00186720"/>
    <w:rsid w:val="001907FD"/>
    <w:rsid w:val="0019090B"/>
    <w:rsid w:val="00193016"/>
    <w:rsid w:val="0019497B"/>
    <w:rsid w:val="001A1230"/>
    <w:rsid w:val="001A14B0"/>
    <w:rsid w:val="001A15F8"/>
    <w:rsid w:val="001A7A38"/>
    <w:rsid w:val="001B0276"/>
    <w:rsid w:val="001B05E8"/>
    <w:rsid w:val="001B4975"/>
    <w:rsid w:val="001B63C9"/>
    <w:rsid w:val="001B6EBD"/>
    <w:rsid w:val="001B74EB"/>
    <w:rsid w:val="001C23C8"/>
    <w:rsid w:val="001C23E4"/>
    <w:rsid w:val="001C282B"/>
    <w:rsid w:val="001C2A0C"/>
    <w:rsid w:val="001C4020"/>
    <w:rsid w:val="001C4A01"/>
    <w:rsid w:val="001C4C55"/>
    <w:rsid w:val="001C4D49"/>
    <w:rsid w:val="001C5C7E"/>
    <w:rsid w:val="001D0838"/>
    <w:rsid w:val="001D0FF6"/>
    <w:rsid w:val="001D1099"/>
    <w:rsid w:val="001D24F6"/>
    <w:rsid w:val="001D3295"/>
    <w:rsid w:val="001D54FF"/>
    <w:rsid w:val="001D792C"/>
    <w:rsid w:val="001E1164"/>
    <w:rsid w:val="001E18EE"/>
    <w:rsid w:val="001E2540"/>
    <w:rsid w:val="001E41E4"/>
    <w:rsid w:val="001E687F"/>
    <w:rsid w:val="001E6EE1"/>
    <w:rsid w:val="001F1490"/>
    <w:rsid w:val="001F314C"/>
    <w:rsid w:val="001F3196"/>
    <w:rsid w:val="001F4928"/>
    <w:rsid w:val="001F6C71"/>
    <w:rsid w:val="001F72B7"/>
    <w:rsid w:val="001F7380"/>
    <w:rsid w:val="0020013A"/>
    <w:rsid w:val="00200EA2"/>
    <w:rsid w:val="002022C8"/>
    <w:rsid w:val="00204584"/>
    <w:rsid w:val="002048C2"/>
    <w:rsid w:val="00204C93"/>
    <w:rsid w:val="00207530"/>
    <w:rsid w:val="00207538"/>
    <w:rsid w:val="00207F97"/>
    <w:rsid w:val="002116FC"/>
    <w:rsid w:val="00212DA2"/>
    <w:rsid w:val="00214D21"/>
    <w:rsid w:val="00215233"/>
    <w:rsid w:val="00217222"/>
    <w:rsid w:val="00220BDB"/>
    <w:rsid w:val="002247DD"/>
    <w:rsid w:val="0022526D"/>
    <w:rsid w:val="002270F0"/>
    <w:rsid w:val="00232786"/>
    <w:rsid w:val="00235E78"/>
    <w:rsid w:val="002361B5"/>
    <w:rsid w:val="00236504"/>
    <w:rsid w:val="00236A66"/>
    <w:rsid w:val="00237E06"/>
    <w:rsid w:val="00240575"/>
    <w:rsid w:val="002410BF"/>
    <w:rsid w:val="00244F89"/>
    <w:rsid w:val="00246F17"/>
    <w:rsid w:val="00254317"/>
    <w:rsid w:val="00257BFE"/>
    <w:rsid w:val="002604DC"/>
    <w:rsid w:val="00262FB6"/>
    <w:rsid w:val="00264968"/>
    <w:rsid w:val="002701C5"/>
    <w:rsid w:val="00272C22"/>
    <w:rsid w:val="00273343"/>
    <w:rsid w:val="0027450F"/>
    <w:rsid w:val="0027511D"/>
    <w:rsid w:val="002759D6"/>
    <w:rsid w:val="00277499"/>
    <w:rsid w:val="0028184F"/>
    <w:rsid w:val="00282C0B"/>
    <w:rsid w:val="002830F2"/>
    <w:rsid w:val="0028573B"/>
    <w:rsid w:val="00292A8E"/>
    <w:rsid w:val="00292B5D"/>
    <w:rsid w:val="00293F18"/>
    <w:rsid w:val="00293F94"/>
    <w:rsid w:val="00296887"/>
    <w:rsid w:val="002A01A0"/>
    <w:rsid w:val="002A1D7E"/>
    <w:rsid w:val="002A22A4"/>
    <w:rsid w:val="002A4F86"/>
    <w:rsid w:val="002A6E22"/>
    <w:rsid w:val="002B0C75"/>
    <w:rsid w:val="002B526F"/>
    <w:rsid w:val="002B7D56"/>
    <w:rsid w:val="002C05AB"/>
    <w:rsid w:val="002C0859"/>
    <w:rsid w:val="002C0DCB"/>
    <w:rsid w:val="002C1557"/>
    <w:rsid w:val="002C1A34"/>
    <w:rsid w:val="002C2331"/>
    <w:rsid w:val="002C2BCA"/>
    <w:rsid w:val="002C3763"/>
    <w:rsid w:val="002C3926"/>
    <w:rsid w:val="002C3988"/>
    <w:rsid w:val="002C3AC1"/>
    <w:rsid w:val="002C571F"/>
    <w:rsid w:val="002D0AEB"/>
    <w:rsid w:val="002D3A13"/>
    <w:rsid w:val="002D3C2E"/>
    <w:rsid w:val="002D4D8C"/>
    <w:rsid w:val="002D585B"/>
    <w:rsid w:val="002D6D80"/>
    <w:rsid w:val="002E1DB3"/>
    <w:rsid w:val="002E2649"/>
    <w:rsid w:val="002E27D0"/>
    <w:rsid w:val="002E3ECC"/>
    <w:rsid w:val="002E5B61"/>
    <w:rsid w:val="002F12D9"/>
    <w:rsid w:val="002F14B9"/>
    <w:rsid w:val="002F1D2E"/>
    <w:rsid w:val="002F3220"/>
    <w:rsid w:val="002F5421"/>
    <w:rsid w:val="003027D3"/>
    <w:rsid w:val="0030353B"/>
    <w:rsid w:val="00303E9B"/>
    <w:rsid w:val="003051E6"/>
    <w:rsid w:val="00305496"/>
    <w:rsid w:val="00306649"/>
    <w:rsid w:val="00306A7B"/>
    <w:rsid w:val="00307934"/>
    <w:rsid w:val="00307B68"/>
    <w:rsid w:val="003112A0"/>
    <w:rsid w:val="00311C82"/>
    <w:rsid w:val="00312005"/>
    <w:rsid w:val="00313C18"/>
    <w:rsid w:val="00313F81"/>
    <w:rsid w:val="00314253"/>
    <w:rsid w:val="00314DD2"/>
    <w:rsid w:val="00315697"/>
    <w:rsid w:val="00315CCE"/>
    <w:rsid w:val="00315CDF"/>
    <w:rsid w:val="00315FC7"/>
    <w:rsid w:val="003162FE"/>
    <w:rsid w:val="00320518"/>
    <w:rsid w:val="00320CE4"/>
    <w:rsid w:val="00321E5F"/>
    <w:rsid w:val="00322EAC"/>
    <w:rsid w:val="00324684"/>
    <w:rsid w:val="00324ADD"/>
    <w:rsid w:val="0032532E"/>
    <w:rsid w:val="00325930"/>
    <w:rsid w:val="0032645B"/>
    <w:rsid w:val="00326F42"/>
    <w:rsid w:val="00331CC3"/>
    <w:rsid w:val="00333397"/>
    <w:rsid w:val="00333544"/>
    <w:rsid w:val="003340AA"/>
    <w:rsid w:val="00340B14"/>
    <w:rsid w:val="00341CED"/>
    <w:rsid w:val="00341DE4"/>
    <w:rsid w:val="0034282C"/>
    <w:rsid w:val="00345FA3"/>
    <w:rsid w:val="0034728B"/>
    <w:rsid w:val="003501C7"/>
    <w:rsid w:val="003517A5"/>
    <w:rsid w:val="0035185F"/>
    <w:rsid w:val="00355AC1"/>
    <w:rsid w:val="00356150"/>
    <w:rsid w:val="0035706D"/>
    <w:rsid w:val="00360A22"/>
    <w:rsid w:val="00362C3D"/>
    <w:rsid w:val="003635BE"/>
    <w:rsid w:val="0036424B"/>
    <w:rsid w:val="0037148C"/>
    <w:rsid w:val="00371663"/>
    <w:rsid w:val="003730BA"/>
    <w:rsid w:val="00376035"/>
    <w:rsid w:val="003769E2"/>
    <w:rsid w:val="00376DE2"/>
    <w:rsid w:val="00383067"/>
    <w:rsid w:val="003852AC"/>
    <w:rsid w:val="00386493"/>
    <w:rsid w:val="00387565"/>
    <w:rsid w:val="003915A8"/>
    <w:rsid w:val="00397B53"/>
    <w:rsid w:val="00397F61"/>
    <w:rsid w:val="003A42D5"/>
    <w:rsid w:val="003A453A"/>
    <w:rsid w:val="003A5504"/>
    <w:rsid w:val="003A67A2"/>
    <w:rsid w:val="003B0394"/>
    <w:rsid w:val="003B0D82"/>
    <w:rsid w:val="003B228B"/>
    <w:rsid w:val="003B31A1"/>
    <w:rsid w:val="003B40EF"/>
    <w:rsid w:val="003B483F"/>
    <w:rsid w:val="003B54FD"/>
    <w:rsid w:val="003B579D"/>
    <w:rsid w:val="003B7971"/>
    <w:rsid w:val="003C05BC"/>
    <w:rsid w:val="003C25B6"/>
    <w:rsid w:val="003C2DBE"/>
    <w:rsid w:val="003C31BF"/>
    <w:rsid w:val="003C4D45"/>
    <w:rsid w:val="003C54EA"/>
    <w:rsid w:val="003C6AD0"/>
    <w:rsid w:val="003C6EC5"/>
    <w:rsid w:val="003C78AA"/>
    <w:rsid w:val="003D31DB"/>
    <w:rsid w:val="003D3791"/>
    <w:rsid w:val="003D43A8"/>
    <w:rsid w:val="003D51A6"/>
    <w:rsid w:val="003D66D9"/>
    <w:rsid w:val="003D74A9"/>
    <w:rsid w:val="003D7F85"/>
    <w:rsid w:val="003E37BF"/>
    <w:rsid w:val="003E3A21"/>
    <w:rsid w:val="003E4891"/>
    <w:rsid w:val="003E569E"/>
    <w:rsid w:val="003E61D2"/>
    <w:rsid w:val="003E629C"/>
    <w:rsid w:val="003E68D9"/>
    <w:rsid w:val="003F1402"/>
    <w:rsid w:val="003F1814"/>
    <w:rsid w:val="003F2E54"/>
    <w:rsid w:val="003F4309"/>
    <w:rsid w:val="003F5BF7"/>
    <w:rsid w:val="003F5FE3"/>
    <w:rsid w:val="00404C28"/>
    <w:rsid w:val="004059D8"/>
    <w:rsid w:val="00407241"/>
    <w:rsid w:val="00410308"/>
    <w:rsid w:val="004173FA"/>
    <w:rsid w:val="00417961"/>
    <w:rsid w:val="00421070"/>
    <w:rsid w:val="0042173A"/>
    <w:rsid w:val="00426293"/>
    <w:rsid w:val="00426AB4"/>
    <w:rsid w:val="00427FC6"/>
    <w:rsid w:val="00430BC1"/>
    <w:rsid w:val="00431A57"/>
    <w:rsid w:val="00434789"/>
    <w:rsid w:val="00434DCC"/>
    <w:rsid w:val="00435A74"/>
    <w:rsid w:val="00436CF1"/>
    <w:rsid w:val="00441F1D"/>
    <w:rsid w:val="004421B3"/>
    <w:rsid w:val="00447064"/>
    <w:rsid w:val="004474C8"/>
    <w:rsid w:val="00447E2E"/>
    <w:rsid w:val="00450155"/>
    <w:rsid w:val="00450B8E"/>
    <w:rsid w:val="00453747"/>
    <w:rsid w:val="00454558"/>
    <w:rsid w:val="00455022"/>
    <w:rsid w:val="004603BC"/>
    <w:rsid w:val="004625C4"/>
    <w:rsid w:val="00464E14"/>
    <w:rsid w:val="00466229"/>
    <w:rsid w:val="0047080D"/>
    <w:rsid w:val="004718E5"/>
    <w:rsid w:val="00472F3B"/>
    <w:rsid w:val="00473A5F"/>
    <w:rsid w:val="00476C8B"/>
    <w:rsid w:val="00480301"/>
    <w:rsid w:val="004823B1"/>
    <w:rsid w:val="004853D2"/>
    <w:rsid w:val="004863D3"/>
    <w:rsid w:val="00486BA4"/>
    <w:rsid w:val="0048746F"/>
    <w:rsid w:val="00487815"/>
    <w:rsid w:val="00490E5F"/>
    <w:rsid w:val="00490F81"/>
    <w:rsid w:val="0049160B"/>
    <w:rsid w:val="004928F6"/>
    <w:rsid w:val="0049590D"/>
    <w:rsid w:val="0049607A"/>
    <w:rsid w:val="004A0BD9"/>
    <w:rsid w:val="004A269D"/>
    <w:rsid w:val="004A351C"/>
    <w:rsid w:val="004A4E11"/>
    <w:rsid w:val="004B1696"/>
    <w:rsid w:val="004B1EF2"/>
    <w:rsid w:val="004B2597"/>
    <w:rsid w:val="004B4824"/>
    <w:rsid w:val="004B48CE"/>
    <w:rsid w:val="004C7E70"/>
    <w:rsid w:val="004D00F0"/>
    <w:rsid w:val="004D15E7"/>
    <w:rsid w:val="004D2E64"/>
    <w:rsid w:val="004D388B"/>
    <w:rsid w:val="004D3C37"/>
    <w:rsid w:val="004D43A2"/>
    <w:rsid w:val="004D706B"/>
    <w:rsid w:val="004D732B"/>
    <w:rsid w:val="004D7BF6"/>
    <w:rsid w:val="004E067C"/>
    <w:rsid w:val="004E0B9F"/>
    <w:rsid w:val="004E166F"/>
    <w:rsid w:val="004E1AD1"/>
    <w:rsid w:val="004E2C89"/>
    <w:rsid w:val="004E51E2"/>
    <w:rsid w:val="004E56C8"/>
    <w:rsid w:val="004E6A50"/>
    <w:rsid w:val="004F0241"/>
    <w:rsid w:val="004F2B02"/>
    <w:rsid w:val="004F3EE4"/>
    <w:rsid w:val="004F479A"/>
    <w:rsid w:val="004F53D2"/>
    <w:rsid w:val="004F6438"/>
    <w:rsid w:val="004F6494"/>
    <w:rsid w:val="004F7816"/>
    <w:rsid w:val="005007D6"/>
    <w:rsid w:val="00500D54"/>
    <w:rsid w:val="00501DFB"/>
    <w:rsid w:val="0050228D"/>
    <w:rsid w:val="005027C5"/>
    <w:rsid w:val="0050369D"/>
    <w:rsid w:val="00504C35"/>
    <w:rsid w:val="0050504C"/>
    <w:rsid w:val="00505DB2"/>
    <w:rsid w:val="00512610"/>
    <w:rsid w:val="00513B77"/>
    <w:rsid w:val="00514C4E"/>
    <w:rsid w:val="00515263"/>
    <w:rsid w:val="00515C39"/>
    <w:rsid w:val="00517022"/>
    <w:rsid w:val="00517472"/>
    <w:rsid w:val="00517CD5"/>
    <w:rsid w:val="00520D1F"/>
    <w:rsid w:val="00521CA3"/>
    <w:rsid w:val="00521F3D"/>
    <w:rsid w:val="00522994"/>
    <w:rsid w:val="00526767"/>
    <w:rsid w:val="00527E0A"/>
    <w:rsid w:val="0053039B"/>
    <w:rsid w:val="00531293"/>
    <w:rsid w:val="00531343"/>
    <w:rsid w:val="00531EF0"/>
    <w:rsid w:val="0053208D"/>
    <w:rsid w:val="00534B0E"/>
    <w:rsid w:val="0053781F"/>
    <w:rsid w:val="0054014C"/>
    <w:rsid w:val="00543646"/>
    <w:rsid w:val="00544809"/>
    <w:rsid w:val="0054620A"/>
    <w:rsid w:val="00546293"/>
    <w:rsid w:val="00547486"/>
    <w:rsid w:val="00553CB3"/>
    <w:rsid w:val="005550AA"/>
    <w:rsid w:val="00555145"/>
    <w:rsid w:val="0055552B"/>
    <w:rsid w:val="00556609"/>
    <w:rsid w:val="005634DA"/>
    <w:rsid w:val="00563ADA"/>
    <w:rsid w:val="00564F47"/>
    <w:rsid w:val="00565CF5"/>
    <w:rsid w:val="005668FC"/>
    <w:rsid w:val="005671BE"/>
    <w:rsid w:val="00567424"/>
    <w:rsid w:val="00567CD7"/>
    <w:rsid w:val="00571EE6"/>
    <w:rsid w:val="005728B7"/>
    <w:rsid w:val="005739DB"/>
    <w:rsid w:val="00574418"/>
    <w:rsid w:val="005745CE"/>
    <w:rsid w:val="00574FEB"/>
    <w:rsid w:val="00577C7B"/>
    <w:rsid w:val="00581BBF"/>
    <w:rsid w:val="00582CC6"/>
    <w:rsid w:val="0058480D"/>
    <w:rsid w:val="00586D6C"/>
    <w:rsid w:val="00590E3D"/>
    <w:rsid w:val="00591272"/>
    <w:rsid w:val="00592052"/>
    <w:rsid w:val="00592A13"/>
    <w:rsid w:val="00594E20"/>
    <w:rsid w:val="005953B6"/>
    <w:rsid w:val="005A0129"/>
    <w:rsid w:val="005A0425"/>
    <w:rsid w:val="005A0743"/>
    <w:rsid w:val="005A0A04"/>
    <w:rsid w:val="005A0B56"/>
    <w:rsid w:val="005A1FE7"/>
    <w:rsid w:val="005A2A17"/>
    <w:rsid w:val="005A2A94"/>
    <w:rsid w:val="005A57E8"/>
    <w:rsid w:val="005A5C90"/>
    <w:rsid w:val="005A5DAE"/>
    <w:rsid w:val="005A7CD3"/>
    <w:rsid w:val="005B11DB"/>
    <w:rsid w:val="005B25C6"/>
    <w:rsid w:val="005B3216"/>
    <w:rsid w:val="005B569A"/>
    <w:rsid w:val="005B5B52"/>
    <w:rsid w:val="005B615D"/>
    <w:rsid w:val="005C23DC"/>
    <w:rsid w:val="005C24DA"/>
    <w:rsid w:val="005C2522"/>
    <w:rsid w:val="005C400E"/>
    <w:rsid w:val="005C57AC"/>
    <w:rsid w:val="005C70F0"/>
    <w:rsid w:val="005D1838"/>
    <w:rsid w:val="005D4D90"/>
    <w:rsid w:val="005D5228"/>
    <w:rsid w:val="005D53BF"/>
    <w:rsid w:val="005D758C"/>
    <w:rsid w:val="005D7782"/>
    <w:rsid w:val="005E2A60"/>
    <w:rsid w:val="005E4DDE"/>
    <w:rsid w:val="005E61DA"/>
    <w:rsid w:val="005E6616"/>
    <w:rsid w:val="005F06E6"/>
    <w:rsid w:val="005F152B"/>
    <w:rsid w:val="005F634A"/>
    <w:rsid w:val="005F6812"/>
    <w:rsid w:val="005F7275"/>
    <w:rsid w:val="0060096F"/>
    <w:rsid w:val="00602C37"/>
    <w:rsid w:val="00603B36"/>
    <w:rsid w:val="00605FC0"/>
    <w:rsid w:val="006063EA"/>
    <w:rsid w:val="0060734C"/>
    <w:rsid w:val="0060735D"/>
    <w:rsid w:val="00612178"/>
    <w:rsid w:val="00615611"/>
    <w:rsid w:val="00616D39"/>
    <w:rsid w:val="00625B78"/>
    <w:rsid w:val="006276D5"/>
    <w:rsid w:val="0063027D"/>
    <w:rsid w:val="0063057F"/>
    <w:rsid w:val="00630904"/>
    <w:rsid w:val="00630F3D"/>
    <w:rsid w:val="006317E9"/>
    <w:rsid w:val="00631D92"/>
    <w:rsid w:val="00636107"/>
    <w:rsid w:val="00636187"/>
    <w:rsid w:val="0063680A"/>
    <w:rsid w:val="006413D2"/>
    <w:rsid w:val="00644C86"/>
    <w:rsid w:val="00646E6B"/>
    <w:rsid w:val="00647A99"/>
    <w:rsid w:val="00647B8F"/>
    <w:rsid w:val="00654050"/>
    <w:rsid w:val="00654601"/>
    <w:rsid w:val="0065510F"/>
    <w:rsid w:val="006551C1"/>
    <w:rsid w:val="006559D9"/>
    <w:rsid w:val="0065660D"/>
    <w:rsid w:val="0065705E"/>
    <w:rsid w:val="006578D0"/>
    <w:rsid w:val="00660A57"/>
    <w:rsid w:val="00661ABE"/>
    <w:rsid w:val="0066422F"/>
    <w:rsid w:val="006656E6"/>
    <w:rsid w:val="00665EAD"/>
    <w:rsid w:val="0066747B"/>
    <w:rsid w:val="00671B6D"/>
    <w:rsid w:val="00671D05"/>
    <w:rsid w:val="00673184"/>
    <w:rsid w:val="006742D0"/>
    <w:rsid w:val="006748BC"/>
    <w:rsid w:val="00674F63"/>
    <w:rsid w:val="006764CB"/>
    <w:rsid w:val="0067680E"/>
    <w:rsid w:val="00677BE7"/>
    <w:rsid w:val="00681735"/>
    <w:rsid w:val="00685505"/>
    <w:rsid w:val="00686D91"/>
    <w:rsid w:val="00686DA2"/>
    <w:rsid w:val="00691617"/>
    <w:rsid w:val="00694011"/>
    <w:rsid w:val="006946C7"/>
    <w:rsid w:val="006963A4"/>
    <w:rsid w:val="006969A6"/>
    <w:rsid w:val="00696D8E"/>
    <w:rsid w:val="00697227"/>
    <w:rsid w:val="006977DB"/>
    <w:rsid w:val="006A0564"/>
    <w:rsid w:val="006A2620"/>
    <w:rsid w:val="006A2D13"/>
    <w:rsid w:val="006A2FF2"/>
    <w:rsid w:val="006A4C55"/>
    <w:rsid w:val="006B13A3"/>
    <w:rsid w:val="006B2C6F"/>
    <w:rsid w:val="006B34AC"/>
    <w:rsid w:val="006B3B85"/>
    <w:rsid w:val="006B49A8"/>
    <w:rsid w:val="006B49E8"/>
    <w:rsid w:val="006B5AB6"/>
    <w:rsid w:val="006B6F16"/>
    <w:rsid w:val="006C1DFE"/>
    <w:rsid w:val="006C49B9"/>
    <w:rsid w:val="006C4B65"/>
    <w:rsid w:val="006C70F7"/>
    <w:rsid w:val="006C76F6"/>
    <w:rsid w:val="006C7CAE"/>
    <w:rsid w:val="006D4535"/>
    <w:rsid w:val="006D5503"/>
    <w:rsid w:val="006D6851"/>
    <w:rsid w:val="006D77FB"/>
    <w:rsid w:val="006E2033"/>
    <w:rsid w:val="006E2DF9"/>
    <w:rsid w:val="006E6EB3"/>
    <w:rsid w:val="006E73F1"/>
    <w:rsid w:val="006F1243"/>
    <w:rsid w:val="006F21B5"/>
    <w:rsid w:val="006F22FB"/>
    <w:rsid w:val="006F3317"/>
    <w:rsid w:val="006F50DF"/>
    <w:rsid w:val="006F6349"/>
    <w:rsid w:val="006F6796"/>
    <w:rsid w:val="006F6D9C"/>
    <w:rsid w:val="006F77CB"/>
    <w:rsid w:val="007034B8"/>
    <w:rsid w:val="007039C8"/>
    <w:rsid w:val="00703AA2"/>
    <w:rsid w:val="00707D8B"/>
    <w:rsid w:val="0071003F"/>
    <w:rsid w:val="00710193"/>
    <w:rsid w:val="00711F27"/>
    <w:rsid w:val="00712DF3"/>
    <w:rsid w:val="00716D5C"/>
    <w:rsid w:val="007177EB"/>
    <w:rsid w:val="00717EB1"/>
    <w:rsid w:val="0072172E"/>
    <w:rsid w:val="007232EC"/>
    <w:rsid w:val="007239A3"/>
    <w:rsid w:val="00725F9D"/>
    <w:rsid w:val="007262FF"/>
    <w:rsid w:val="00730620"/>
    <w:rsid w:val="007307EE"/>
    <w:rsid w:val="00731512"/>
    <w:rsid w:val="00732CC7"/>
    <w:rsid w:val="00734880"/>
    <w:rsid w:val="007348C9"/>
    <w:rsid w:val="00734C33"/>
    <w:rsid w:val="0073559B"/>
    <w:rsid w:val="00735B33"/>
    <w:rsid w:val="00740016"/>
    <w:rsid w:val="00740EA0"/>
    <w:rsid w:val="00745017"/>
    <w:rsid w:val="00745965"/>
    <w:rsid w:val="00751632"/>
    <w:rsid w:val="00752823"/>
    <w:rsid w:val="007546DA"/>
    <w:rsid w:val="00754737"/>
    <w:rsid w:val="0076218E"/>
    <w:rsid w:val="007657F4"/>
    <w:rsid w:val="0076718D"/>
    <w:rsid w:val="00767961"/>
    <w:rsid w:val="00771F13"/>
    <w:rsid w:val="00772A81"/>
    <w:rsid w:val="0077369A"/>
    <w:rsid w:val="007738B4"/>
    <w:rsid w:val="007742D9"/>
    <w:rsid w:val="00776BC6"/>
    <w:rsid w:val="007839B1"/>
    <w:rsid w:val="00783BF0"/>
    <w:rsid w:val="00784434"/>
    <w:rsid w:val="00786A1A"/>
    <w:rsid w:val="0078799C"/>
    <w:rsid w:val="00790F31"/>
    <w:rsid w:val="00791EAC"/>
    <w:rsid w:val="0079261B"/>
    <w:rsid w:val="00792E0B"/>
    <w:rsid w:val="00794B18"/>
    <w:rsid w:val="00795B32"/>
    <w:rsid w:val="00797C2A"/>
    <w:rsid w:val="007A02A2"/>
    <w:rsid w:val="007A20FA"/>
    <w:rsid w:val="007A519D"/>
    <w:rsid w:val="007A6C68"/>
    <w:rsid w:val="007A7AEA"/>
    <w:rsid w:val="007B0D63"/>
    <w:rsid w:val="007B4306"/>
    <w:rsid w:val="007B452D"/>
    <w:rsid w:val="007B4E8C"/>
    <w:rsid w:val="007B6FA9"/>
    <w:rsid w:val="007C1DEB"/>
    <w:rsid w:val="007C2825"/>
    <w:rsid w:val="007C3146"/>
    <w:rsid w:val="007C3CA3"/>
    <w:rsid w:val="007C4ACA"/>
    <w:rsid w:val="007C4B86"/>
    <w:rsid w:val="007C5826"/>
    <w:rsid w:val="007C61D9"/>
    <w:rsid w:val="007D06B9"/>
    <w:rsid w:val="007D3BD3"/>
    <w:rsid w:val="007D3F97"/>
    <w:rsid w:val="007D42F1"/>
    <w:rsid w:val="007D4378"/>
    <w:rsid w:val="007D4829"/>
    <w:rsid w:val="007D558F"/>
    <w:rsid w:val="007D5D1C"/>
    <w:rsid w:val="007D6A26"/>
    <w:rsid w:val="007E1B6E"/>
    <w:rsid w:val="007E1BCB"/>
    <w:rsid w:val="007E2C26"/>
    <w:rsid w:val="007E4EEC"/>
    <w:rsid w:val="007E53BD"/>
    <w:rsid w:val="007E6534"/>
    <w:rsid w:val="007E680C"/>
    <w:rsid w:val="007E6BAA"/>
    <w:rsid w:val="007E75F4"/>
    <w:rsid w:val="007F1A71"/>
    <w:rsid w:val="007F1C38"/>
    <w:rsid w:val="007F2DEF"/>
    <w:rsid w:val="00801D2F"/>
    <w:rsid w:val="00802D41"/>
    <w:rsid w:val="00803286"/>
    <w:rsid w:val="0080638B"/>
    <w:rsid w:val="008074B1"/>
    <w:rsid w:val="00807A84"/>
    <w:rsid w:val="008109FD"/>
    <w:rsid w:val="00811F3A"/>
    <w:rsid w:val="00815787"/>
    <w:rsid w:val="00815A12"/>
    <w:rsid w:val="00817A0A"/>
    <w:rsid w:val="008240E7"/>
    <w:rsid w:val="00824E8D"/>
    <w:rsid w:val="0083029B"/>
    <w:rsid w:val="00830E33"/>
    <w:rsid w:val="00831072"/>
    <w:rsid w:val="00834EA9"/>
    <w:rsid w:val="008460D1"/>
    <w:rsid w:val="00846B4B"/>
    <w:rsid w:val="008475DC"/>
    <w:rsid w:val="0084779C"/>
    <w:rsid w:val="00850546"/>
    <w:rsid w:val="00851B5B"/>
    <w:rsid w:val="00852892"/>
    <w:rsid w:val="008539F7"/>
    <w:rsid w:val="00857E8D"/>
    <w:rsid w:val="00863840"/>
    <w:rsid w:val="00864E22"/>
    <w:rsid w:val="00864E7A"/>
    <w:rsid w:val="00866083"/>
    <w:rsid w:val="008679DF"/>
    <w:rsid w:val="00867CBF"/>
    <w:rsid w:val="008700DC"/>
    <w:rsid w:val="008701F3"/>
    <w:rsid w:val="00870578"/>
    <w:rsid w:val="00870858"/>
    <w:rsid w:val="00871020"/>
    <w:rsid w:val="00871F76"/>
    <w:rsid w:val="0087237D"/>
    <w:rsid w:val="008736A4"/>
    <w:rsid w:val="00873F8E"/>
    <w:rsid w:val="008744DB"/>
    <w:rsid w:val="00874FB7"/>
    <w:rsid w:val="0088221E"/>
    <w:rsid w:val="00885926"/>
    <w:rsid w:val="008861F7"/>
    <w:rsid w:val="00886785"/>
    <w:rsid w:val="00886872"/>
    <w:rsid w:val="008869F6"/>
    <w:rsid w:val="00887B0A"/>
    <w:rsid w:val="00891888"/>
    <w:rsid w:val="00892A17"/>
    <w:rsid w:val="008A08B3"/>
    <w:rsid w:val="008A183C"/>
    <w:rsid w:val="008A1BF2"/>
    <w:rsid w:val="008A296C"/>
    <w:rsid w:val="008A3F66"/>
    <w:rsid w:val="008A570A"/>
    <w:rsid w:val="008A5CAE"/>
    <w:rsid w:val="008A5FDD"/>
    <w:rsid w:val="008A7257"/>
    <w:rsid w:val="008A77CA"/>
    <w:rsid w:val="008B125E"/>
    <w:rsid w:val="008B12B0"/>
    <w:rsid w:val="008B2C7D"/>
    <w:rsid w:val="008B36A4"/>
    <w:rsid w:val="008B4A8E"/>
    <w:rsid w:val="008B6F88"/>
    <w:rsid w:val="008B7270"/>
    <w:rsid w:val="008C2C9D"/>
    <w:rsid w:val="008C2DED"/>
    <w:rsid w:val="008C45FB"/>
    <w:rsid w:val="008D0437"/>
    <w:rsid w:val="008D0F2B"/>
    <w:rsid w:val="008D4910"/>
    <w:rsid w:val="008D56C0"/>
    <w:rsid w:val="008D64B0"/>
    <w:rsid w:val="008D788E"/>
    <w:rsid w:val="008E03BD"/>
    <w:rsid w:val="008E1AA1"/>
    <w:rsid w:val="008E1E60"/>
    <w:rsid w:val="008E4D5B"/>
    <w:rsid w:val="008E55F1"/>
    <w:rsid w:val="008E6857"/>
    <w:rsid w:val="008E6D4D"/>
    <w:rsid w:val="008F112E"/>
    <w:rsid w:val="008F1512"/>
    <w:rsid w:val="008F5021"/>
    <w:rsid w:val="008F5044"/>
    <w:rsid w:val="008F6BD7"/>
    <w:rsid w:val="008F6C3C"/>
    <w:rsid w:val="009007A3"/>
    <w:rsid w:val="009021C3"/>
    <w:rsid w:val="00902D8B"/>
    <w:rsid w:val="009053A5"/>
    <w:rsid w:val="00906480"/>
    <w:rsid w:val="00911149"/>
    <w:rsid w:val="00912A31"/>
    <w:rsid w:val="009135FC"/>
    <w:rsid w:val="009171B6"/>
    <w:rsid w:val="009179DA"/>
    <w:rsid w:val="00920663"/>
    <w:rsid w:val="009225B2"/>
    <w:rsid w:val="009228AE"/>
    <w:rsid w:val="00922E46"/>
    <w:rsid w:val="009236CC"/>
    <w:rsid w:val="00925905"/>
    <w:rsid w:val="00927BCE"/>
    <w:rsid w:val="00937ABA"/>
    <w:rsid w:val="009401CC"/>
    <w:rsid w:val="00942944"/>
    <w:rsid w:val="00947D3D"/>
    <w:rsid w:val="0095115A"/>
    <w:rsid w:val="009511F3"/>
    <w:rsid w:val="00952297"/>
    <w:rsid w:val="00953848"/>
    <w:rsid w:val="00954F5E"/>
    <w:rsid w:val="00956090"/>
    <w:rsid w:val="00964EDA"/>
    <w:rsid w:val="00966352"/>
    <w:rsid w:val="009679A5"/>
    <w:rsid w:val="00970C92"/>
    <w:rsid w:val="009712B6"/>
    <w:rsid w:val="00971A1C"/>
    <w:rsid w:val="00972001"/>
    <w:rsid w:val="0097230F"/>
    <w:rsid w:val="009740D8"/>
    <w:rsid w:val="00975483"/>
    <w:rsid w:val="0097758D"/>
    <w:rsid w:val="0098154A"/>
    <w:rsid w:val="009826F9"/>
    <w:rsid w:val="00982939"/>
    <w:rsid w:val="00982F68"/>
    <w:rsid w:val="00983C4F"/>
    <w:rsid w:val="009861F4"/>
    <w:rsid w:val="009906E5"/>
    <w:rsid w:val="00991ACA"/>
    <w:rsid w:val="00992F38"/>
    <w:rsid w:val="0099491A"/>
    <w:rsid w:val="009A0492"/>
    <w:rsid w:val="009A05F3"/>
    <w:rsid w:val="009A0860"/>
    <w:rsid w:val="009A2F62"/>
    <w:rsid w:val="009A6F23"/>
    <w:rsid w:val="009B13F8"/>
    <w:rsid w:val="009B2D19"/>
    <w:rsid w:val="009B45E0"/>
    <w:rsid w:val="009B5682"/>
    <w:rsid w:val="009B68AA"/>
    <w:rsid w:val="009B7D5B"/>
    <w:rsid w:val="009C2083"/>
    <w:rsid w:val="009C2AD8"/>
    <w:rsid w:val="009C2FB4"/>
    <w:rsid w:val="009C3C05"/>
    <w:rsid w:val="009C44AE"/>
    <w:rsid w:val="009C4A9A"/>
    <w:rsid w:val="009C5333"/>
    <w:rsid w:val="009C5E1C"/>
    <w:rsid w:val="009C784F"/>
    <w:rsid w:val="009D1A96"/>
    <w:rsid w:val="009D325A"/>
    <w:rsid w:val="009D32B0"/>
    <w:rsid w:val="009D5BA5"/>
    <w:rsid w:val="009D62D3"/>
    <w:rsid w:val="009D725C"/>
    <w:rsid w:val="009E0A23"/>
    <w:rsid w:val="009E26CF"/>
    <w:rsid w:val="009E2711"/>
    <w:rsid w:val="009E2FCD"/>
    <w:rsid w:val="009F111F"/>
    <w:rsid w:val="009F237A"/>
    <w:rsid w:val="009F3B08"/>
    <w:rsid w:val="009F52B1"/>
    <w:rsid w:val="009F7105"/>
    <w:rsid w:val="009F73C3"/>
    <w:rsid w:val="00A01AA7"/>
    <w:rsid w:val="00A01D23"/>
    <w:rsid w:val="00A02207"/>
    <w:rsid w:val="00A03006"/>
    <w:rsid w:val="00A04680"/>
    <w:rsid w:val="00A047BD"/>
    <w:rsid w:val="00A054A4"/>
    <w:rsid w:val="00A06A5D"/>
    <w:rsid w:val="00A101AD"/>
    <w:rsid w:val="00A1158F"/>
    <w:rsid w:val="00A11BFE"/>
    <w:rsid w:val="00A12E34"/>
    <w:rsid w:val="00A143F6"/>
    <w:rsid w:val="00A15410"/>
    <w:rsid w:val="00A15C55"/>
    <w:rsid w:val="00A16963"/>
    <w:rsid w:val="00A172A6"/>
    <w:rsid w:val="00A17EE9"/>
    <w:rsid w:val="00A206F6"/>
    <w:rsid w:val="00A21053"/>
    <w:rsid w:val="00A23151"/>
    <w:rsid w:val="00A2334C"/>
    <w:rsid w:val="00A23FEB"/>
    <w:rsid w:val="00A2604B"/>
    <w:rsid w:val="00A26603"/>
    <w:rsid w:val="00A26E45"/>
    <w:rsid w:val="00A279C5"/>
    <w:rsid w:val="00A3102C"/>
    <w:rsid w:val="00A3189D"/>
    <w:rsid w:val="00A32FF3"/>
    <w:rsid w:val="00A34E32"/>
    <w:rsid w:val="00A36B81"/>
    <w:rsid w:val="00A36EE6"/>
    <w:rsid w:val="00A4047E"/>
    <w:rsid w:val="00A4205C"/>
    <w:rsid w:val="00A44212"/>
    <w:rsid w:val="00A44BD1"/>
    <w:rsid w:val="00A45B31"/>
    <w:rsid w:val="00A46099"/>
    <w:rsid w:val="00A472D5"/>
    <w:rsid w:val="00A47732"/>
    <w:rsid w:val="00A47CB9"/>
    <w:rsid w:val="00A5420D"/>
    <w:rsid w:val="00A55D3F"/>
    <w:rsid w:val="00A578BC"/>
    <w:rsid w:val="00A6050D"/>
    <w:rsid w:val="00A6232A"/>
    <w:rsid w:val="00A6295C"/>
    <w:rsid w:val="00A63B9E"/>
    <w:rsid w:val="00A66057"/>
    <w:rsid w:val="00A6617E"/>
    <w:rsid w:val="00A67E4A"/>
    <w:rsid w:val="00A70ED5"/>
    <w:rsid w:val="00A71E36"/>
    <w:rsid w:val="00A72564"/>
    <w:rsid w:val="00A80D08"/>
    <w:rsid w:val="00A83534"/>
    <w:rsid w:val="00A87195"/>
    <w:rsid w:val="00A87487"/>
    <w:rsid w:val="00A915BB"/>
    <w:rsid w:val="00A921A6"/>
    <w:rsid w:val="00A93796"/>
    <w:rsid w:val="00A93E52"/>
    <w:rsid w:val="00A9405B"/>
    <w:rsid w:val="00A95821"/>
    <w:rsid w:val="00A95DB9"/>
    <w:rsid w:val="00A96BC1"/>
    <w:rsid w:val="00AA19AB"/>
    <w:rsid w:val="00AA2200"/>
    <w:rsid w:val="00AA2A55"/>
    <w:rsid w:val="00AA43EA"/>
    <w:rsid w:val="00AA533B"/>
    <w:rsid w:val="00AA5689"/>
    <w:rsid w:val="00AA6562"/>
    <w:rsid w:val="00AB0771"/>
    <w:rsid w:val="00AB1D0C"/>
    <w:rsid w:val="00AB4DB2"/>
    <w:rsid w:val="00AB7F9C"/>
    <w:rsid w:val="00AC0FC5"/>
    <w:rsid w:val="00AC227E"/>
    <w:rsid w:val="00AC33EC"/>
    <w:rsid w:val="00AC355F"/>
    <w:rsid w:val="00AC3EAD"/>
    <w:rsid w:val="00AC50B6"/>
    <w:rsid w:val="00AD2A0B"/>
    <w:rsid w:val="00AD2BCD"/>
    <w:rsid w:val="00AD4086"/>
    <w:rsid w:val="00AD4B96"/>
    <w:rsid w:val="00AD5569"/>
    <w:rsid w:val="00AD6688"/>
    <w:rsid w:val="00AD6703"/>
    <w:rsid w:val="00AD7230"/>
    <w:rsid w:val="00AE0331"/>
    <w:rsid w:val="00AE080C"/>
    <w:rsid w:val="00AE0E69"/>
    <w:rsid w:val="00AE3619"/>
    <w:rsid w:val="00AE64D5"/>
    <w:rsid w:val="00AF20DE"/>
    <w:rsid w:val="00AF382C"/>
    <w:rsid w:val="00AF5202"/>
    <w:rsid w:val="00AF6907"/>
    <w:rsid w:val="00AF735E"/>
    <w:rsid w:val="00AF7FBD"/>
    <w:rsid w:val="00B06A47"/>
    <w:rsid w:val="00B0720C"/>
    <w:rsid w:val="00B10B1B"/>
    <w:rsid w:val="00B11C44"/>
    <w:rsid w:val="00B1219E"/>
    <w:rsid w:val="00B12484"/>
    <w:rsid w:val="00B133E4"/>
    <w:rsid w:val="00B13BE0"/>
    <w:rsid w:val="00B15227"/>
    <w:rsid w:val="00B15364"/>
    <w:rsid w:val="00B1580F"/>
    <w:rsid w:val="00B1731F"/>
    <w:rsid w:val="00B2296B"/>
    <w:rsid w:val="00B24457"/>
    <w:rsid w:val="00B25565"/>
    <w:rsid w:val="00B32194"/>
    <w:rsid w:val="00B33F6A"/>
    <w:rsid w:val="00B35AE9"/>
    <w:rsid w:val="00B37E74"/>
    <w:rsid w:val="00B444FF"/>
    <w:rsid w:val="00B44D68"/>
    <w:rsid w:val="00B45EEC"/>
    <w:rsid w:val="00B46A3E"/>
    <w:rsid w:val="00B479F4"/>
    <w:rsid w:val="00B47F48"/>
    <w:rsid w:val="00B50266"/>
    <w:rsid w:val="00B50D34"/>
    <w:rsid w:val="00B52408"/>
    <w:rsid w:val="00B52631"/>
    <w:rsid w:val="00B539E4"/>
    <w:rsid w:val="00B53FD2"/>
    <w:rsid w:val="00B54AD0"/>
    <w:rsid w:val="00B55449"/>
    <w:rsid w:val="00B55B0F"/>
    <w:rsid w:val="00B55E7F"/>
    <w:rsid w:val="00B57C0C"/>
    <w:rsid w:val="00B6058B"/>
    <w:rsid w:val="00B6193E"/>
    <w:rsid w:val="00B64B28"/>
    <w:rsid w:val="00B67BBF"/>
    <w:rsid w:val="00B70335"/>
    <w:rsid w:val="00B70ED1"/>
    <w:rsid w:val="00B72864"/>
    <w:rsid w:val="00B73CEF"/>
    <w:rsid w:val="00B76B81"/>
    <w:rsid w:val="00B77E34"/>
    <w:rsid w:val="00B812E2"/>
    <w:rsid w:val="00B83480"/>
    <w:rsid w:val="00B83FDE"/>
    <w:rsid w:val="00B83FF3"/>
    <w:rsid w:val="00B87A74"/>
    <w:rsid w:val="00B92435"/>
    <w:rsid w:val="00B92833"/>
    <w:rsid w:val="00B95E77"/>
    <w:rsid w:val="00B9709D"/>
    <w:rsid w:val="00BA0051"/>
    <w:rsid w:val="00BA03AA"/>
    <w:rsid w:val="00BA1637"/>
    <w:rsid w:val="00BA1F32"/>
    <w:rsid w:val="00BA4161"/>
    <w:rsid w:val="00BA58CE"/>
    <w:rsid w:val="00BA5DE5"/>
    <w:rsid w:val="00BA66A1"/>
    <w:rsid w:val="00BB0847"/>
    <w:rsid w:val="00BB1A5A"/>
    <w:rsid w:val="00BB5FE8"/>
    <w:rsid w:val="00BC0998"/>
    <w:rsid w:val="00BC266C"/>
    <w:rsid w:val="00BC34A7"/>
    <w:rsid w:val="00BC5C9E"/>
    <w:rsid w:val="00BC6621"/>
    <w:rsid w:val="00BD0624"/>
    <w:rsid w:val="00BD0BA8"/>
    <w:rsid w:val="00BD22DA"/>
    <w:rsid w:val="00BD427B"/>
    <w:rsid w:val="00BE0B27"/>
    <w:rsid w:val="00BE4D37"/>
    <w:rsid w:val="00BE555A"/>
    <w:rsid w:val="00BE590D"/>
    <w:rsid w:val="00BE5AC0"/>
    <w:rsid w:val="00BE5ACD"/>
    <w:rsid w:val="00BE68F9"/>
    <w:rsid w:val="00BE6C02"/>
    <w:rsid w:val="00BE756D"/>
    <w:rsid w:val="00BF0A78"/>
    <w:rsid w:val="00BF2F54"/>
    <w:rsid w:val="00BF3802"/>
    <w:rsid w:val="00BF418C"/>
    <w:rsid w:val="00BF4B73"/>
    <w:rsid w:val="00BF4D9F"/>
    <w:rsid w:val="00BF5BB7"/>
    <w:rsid w:val="00BF6DB3"/>
    <w:rsid w:val="00C02438"/>
    <w:rsid w:val="00C03FB2"/>
    <w:rsid w:val="00C05C58"/>
    <w:rsid w:val="00C0653C"/>
    <w:rsid w:val="00C11357"/>
    <w:rsid w:val="00C1245E"/>
    <w:rsid w:val="00C12549"/>
    <w:rsid w:val="00C12B96"/>
    <w:rsid w:val="00C12F16"/>
    <w:rsid w:val="00C16B23"/>
    <w:rsid w:val="00C205B4"/>
    <w:rsid w:val="00C20AC0"/>
    <w:rsid w:val="00C20F05"/>
    <w:rsid w:val="00C21BC8"/>
    <w:rsid w:val="00C254C0"/>
    <w:rsid w:val="00C27EE8"/>
    <w:rsid w:val="00C3151A"/>
    <w:rsid w:val="00C31DD9"/>
    <w:rsid w:val="00C32F70"/>
    <w:rsid w:val="00C35491"/>
    <w:rsid w:val="00C35945"/>
    <w:rsid w:val="00C35A30"/>
    <w:rsid w:val="00C3656D"/>
    <w:rsid w:val="00C37BAB"/>
    <w:rsid w:val="00C402E9"/>
    <w:rsid w:val="00C404C0"/>
    <w:rsid w:val="00C40CFB"/>
    <w:rsid w:val="00C4218D"/>
    <w:rsid w:val="00C43600"/>
    <w:rsid w:val="00C46143"/>
    <w:rsid w:val="00C46477"/>
    <w:rsid w:val="00C465A4"/>
    <w:rsid w:val="00C512EF"/>
    <w:rsid w:val="00C51351"/>
    <w:rsid w:val="00C52162"/>
    <w:rsid w:val="00C52BF4"/>
    <w:rsid w:val="00C54E08"/>
    <w:rsid w:val="00C55D9F"/>
    <w:rsid w:val="00C561B3"/>
    <w:rsid w:val="00C60424"/>
    <w:rsid w:val="00C60786"/>
    <w:rsid w:val="00C607C2"/>
    <w:rsid w:val="00C60833"/>
    <w:rsid w:val="00C610B5"/>
    <w:rsid w:val="00C6155C"/>
    <w:rsid w:val="00C616BF"/>
    <w:rsid w:val="00C6273B"/>
    <w:rsid w:val="00C64CFE"/>
    <w:rsid w:val="00C64E42"/>
    <w:rsid w:val="00C65C02"/>
    <w:rsid w:val="00C65EC7"/>
    <w:rsid w:val="00C66B2C"/>
    <w:rsid w:val="00C66D22"/>
    <w:rsid w:val="00C70C3B"/>
    <w:rsid w:val="00C72079"/>
    <w:rsid w:val="00C731EB"/>
    <w:rsid w:val="00C7341C"/>
    <w:rsid w:val="00C737D3"/>
    <w:rsid w:val="00C81C7E"/>
    <w:rsid w:val="00C83E3E"/>
    <w:rsid w:val="00C84251"/>
    <w:rsid w:val="00C844A7"/>
    <w:rsid w:val="00C84521"/>
    <w:rsid w:val="00C851BC"/>
    <w:rsid w:val="00C85610"/>
    <w:rsid w:val="00C869C4"/>
    <w:rsid w:val="00C869F3"/>
    <w:rsid w:val="00C8790A"/>
    <w:rsid w:val="00C91827"/>
    <w:rsid w:val="00C93250"/>
    <w:rsid w:val="00C95E2B"/>
    <w:rsid w:val="00CA019F"/>
    <w:rsid w:val="00CA0621"/>
    <w:rsid w:val="00CA191F"/>
    <w:rsid w:val="00CA1BE6"/>
    <w:rsid w:val="00CA1F74"/>
    <w:rsid w:val="00CA35A8"/>
    <w:rsid w:val="00CA3658"/>
    <w:rsid w:val="00CA420B"/>
    <w:rsid w:val="00CA4936"/>
    <w:rsid w:val="00CB1FA9"/>
    <w:rsid w:val="00CB3833"/>
    <w:rsid w:val="00CB4134"/>
    <w:rsid w:val="00CB5E61"/>
    <w:rsid w:val="00CC0927"/>
    <w:rsid w:val="00CC2D50"/>
    <w:rsid w:val="00CC3DFC"/>
    <w:rsid w:val="00CC5443"/>
    <w:rsid w:val="00CD1720"/>
    <w:rsid w:val="00CD1B15"/>
    <w:rsid w:val="00CD1E82"/>
    <w:rsid w:val="00CD2FB5"/>
    <w:rsid w:val="00CD3B3B"/>
    <w:rsid w:val="00CD626D"/>
    <w:rsid w:val="00CD6576"/>
    <w:rsid w:val="00CD755A"/>
    <w:rsid w:val="00CD7C88"/>
    <w:rsid w:val="00CE16FB"/>
    <w:rsid w:val="00CE2E5A"/>
    <w:rsid w:val="00CE4281"/>
    <w:rsid w:val="00CE665F"/>
    <w:rsid w:val="00CE6E50"/>
    <w:rsid w:val="00CF0E78"/>
    <w:rsid w:val="00CF116B"/>
    <w:rsid w:val="00CF2064"/>
    <w:rsid w:val="00CF4886"/>
    <w:rsid w:val="00CF5F9A"/>
    <w:rsid w:val="00D0173B"/>
    <w:rsid w:val="00D0398A"/>
    <w:rsid w:val="00D04C3D"/>
    <w:rsid w:val="00D06ABD"/>
    <w:rsid w:val="00D10270"/>
    <w:rsid w:val="00D118E7"/>
    <w:rsid w:val="00D11D15"/>
    <w:rsid w:val="00D15F58"/>
    <w:rsid w:val="00D174C6"/>
    <w:rsid w:val="00D17EAF"/>
    <w:rsid w:val="00D22A28"/>
    <w:rsid w:val="00D27B37"/>
    <w:rsid w:val="00D3372C"/>
    <w:rsid w:val="00D33BB7"/>
    <w:rsid w:val="00D3425E"/>
    <w:rsid w:val="00D3465F"/>
    <w:rsid w:val="00D3642F"/>
    <w:rsid w:val="00D37BF6"/>
    <w:rsid w:val="00D40768"/>
    <w:rsid w:val="00D4136C"/>
    <w:rsid w:val="00D436D6"/>
    <w:rsid w:val="00D437B7"/>
    <w:rsid w:val="00D43AA3"/>
    <w:rsid w:val="00D43EC0"/>
    <w:rsid w:val="00D43F4D"/>
    <w:rsid w:val="00D449A0"/>
    <w:rsid w:val="00D459CA"/>
    <w:rsid w:val="00D50FEB"/>
    <w:rsid w:val="00D516C9"/>
    <w:rsid w:val="00D51DF2"/>
    <w:rsid w:val="00D52A3B"/>
    <w:rsid w:val="00D53161"/>
    <w:rsid w:val="00D5350F"/>
    <w:rsid w:val="00D535C2"/>
    <w:rsid w:val="00D5476C"/>
    <w:rsid w:val="00D560B3"/>
    <w:rsid w:val="00D57847"/>
    <w:rsid w:val="00D604AE"/>
    <w:rsid w:val="00D62693"/>
    <w:rsid w:val="00D6284A"/>
    <w:rsid w:val="00D629C5"/>
    <w:rsid w:val="00D646DA"/>
    <w:rsid w:val="00D661D4"/>
    <w:rsid w:val="00D70077"/>
    <w:rsid w:val="00D717D1"/>
    <w:rsid w:val="00D71C50"/>
    <w:rsid w:val="00D73981"/>
    <w:rsid w:val="00D743DB"/>
    <w:rsid w:val="00D759F9"/>
    <w:rsid w:val="00D76984"/>
    <w:rsid w:val="00D8033C"/>
    <w:rsid w:val="00D823ED"/>
    <w:rsid w:val="00D85378"/>
    <w:rsid w:val="00D86C99"/>
    <w:rsid w:val="00D86D93"/>
    <w:rsid w:val="00D87BB6"/>
    <w:rsid w:val="00D91302"/>
    <w:rsid w:val="00D919B7"/>
    <w:rsid w:val="00D92E80"/>
    <w:rsid w:val="00D93A89"/>
    <w:rsid w:val="00D94D5D"/>
    <w:rsid w:val="00D95D5D"/>
    <w:rsid w:val="00D96889"/>
    <w:rsid w:val="00D96A6A"/>
    <w:rsid w:val="00D972EE"/>
    <w:rsid w:val="00D97FFC"/>
    <w:rsid w:val="00DA142F"/>
    <w:rsid w:val="00DA4229"/>
    <w:rsid w:val="00DA46A7"/>
    <w:rsid w:val="00DA4A84"/>
    <w:rsid w:val="00DA5BC3"/>
    <w:rsid w:val="00DA6DFB"/>
    <w:rsid w:val="00DB19AF"/>
    <w:rsid w:val="00DB1B99"/>
    <w:rsid w:val="00DB494E"/>
    <w:rsid w:val="00DC0970"/>
    <w:rsid w:val="00DC3FAD"/>
    <w:rsid w:val="00DC5112"/>
    <w:rsid w:val="00DC6207"/>
    <w:rsid w:val="00DD0ED7"/>
    <w:rsid w:val="00DD2CA4"/>
    <w:rsid w:val="00DD33F7"/>
    <w:rsid w:val="00DD58B8"/>
    <w:rsid w:val="00DD5FF1"/>
    <w:rsid w:val="00DD688D"/>
    <w:rsid w:val="00DD6D01"/>
    <w:rsid w:val="00DD7F00"/>
    <w:rsid w:val="00DE0B4C"/>
    <w:rsid w:val="00DE10F6"/>
    <w:rsid w:val="00DE15B9"/>
    <w:rsid w:val="00DE30E3"/>
    <w:rsid w:val="00DE4653"/>
    <w:rsid w:val="00DE6AA3"/>
    <w:rsid w:val="00DE77F2"/>
    <w:rsid w:val="00DF0873"/>
    <w:rsid w:val="00DF20C1"/>
    <w:rsid w:val="00DF234D"/>
    <w:rsid w:val="00DF5EE8"/>
    <w:rsid w:val="00DF6491"/>
    <w:rsid w:val="00E04558"/>
    <w:rsid w:val="00E04954"/>
    <w:rsid w:val="00E050C0"/>
    <w:rsid w:val="00E10141"/>
    <w:rsid w:val="00E10747"/>
    <w:rsid w:val="00E125B6"/>
    <w:rsid w:val="00E12B07"/>
    <w:rsid w:val="00E13EE6"/>
    <w:rsid w:val="00E16026"/>
    <w:rsid w:val="00E16F3A"/>
    <w:rsid w:val="00E20593"/>
    <w:rsid w:val="00E22D2A"/>
    <w:rsid w:val="00E233D0"/>
    <w:rsid w:val="00E327CA"/>
    <w:rsid w:val="00E400CF"/>
    <w:rsid w:val="00E40543"/>
    <w:rsid w:val="00E4083D"/>
    <w:rsid w:val="00E42E1A"/>
    <w:rsid w:val="00E435D7"/>
    <w:rsid w:val="00E445C2"/>
    <w:rsid w:val="00E447E3"/>
    <w:rsid w:val="00E44BC3"/>
    <w:rsid w:val="00E44F06"/>
    <w:rsid w:val="00E458C1"/>
    <w:rsid w:val="00E466FA"/>
    <w:rsid w:val="00E502B3"/>
    <w:rsid w:val="00E51C18"/>
    <w:rsid w:val="00E51D9B"/>
    <w:rsid w:val="00E523A9"/>
    <w:rsid w:val="00E53381"/>
    <w:rsid w:val="00E53917"/>
    <w:rsid w:val="00E54229"/>
    <w:rsid w:val="00E54DA2"/>
    <w:rsid w:val="00E562AE"/>
    <w:rsid w:val="00E56EED"/>
    <w:rsid w:val="00E60F54"/>
    <w:rsid w:val="00E6188A"/>
    <w:rsid w:val="00E649E8"/>
    <w:rsid w:val="00E64E86"/>
    <w:rsid w:val="00E65EE2"/>
    <w:rsid w:val="00E66CC0"/>
    <w:rsid w:val="00E71A38"/>
    <w:rsid w:val="00E7249E"/>
    <w:rsid w:val="00E72F69"/>
    <w:rsid w:val="00E73B72"/>
    <w:rsid w:val="00E73B87"/>
    <w:rsid w:val="00E74104"/>
    <w:rsid w:val="00E74786"/>
    <w:rsid w:val="00E74FA4"/>
    <w:rsid w:val="00E7728D"/>
    <w:rsid w:val="00E8033C"/>
    <w:rsid w:val="00E81175"/>
    <w:rsid w:val="00E83565"/>
    <w:rsid w:val="00E85496"/>
    <w:rsid w:val="00E9017E"/>
    <w:rsid w:val="00E9140C"/>
    <w:rsid w:val="00E916F3"/>
    <w:rsid w:val="00E923E7"/>
    <w:rsid w:val="00E924B9"/>
    <w:rsid w:val="00E9532A"/>
    <w:rsid w:val="00E961E6"/>
    <w:rsid w:val="00E96246"/>
    <w:rsid w:val="00E9748B"/>
    <w:rsid w:val="00EA05D1"/>
    <w:rsid w:val="00EA067E"/>
    <w:rsid w:val="00EA72A9"/>
    <w:rsid w:val="00EB2690"/>
    <w:rsid w:val="00EB2EEE"/>
    <w:rsid w:val="00EB406D"/>
    <w:rsid w:val="00EB5557"/>
    <w:rsid w:val="00EB6ACF"/>
    <w:rsid w:val="00EC1268"/>
    <w:rsid w:val="00EC2761"/>
    <w:rsid w:val="00EC39B5"/>
    <w:rsid w:val="00EC52CE"/>
    <w:rsid w:val="00EC6707"/>
    <w:rsid w:val="00EC6D3C"/>
    <w:rsid w:val="00ED00A6"/>
    <w:rsid w:val="00ED335D"/>
    <w:rsid w:val="00ED473C"/>
    <w:rsid w:val="00ED4B2A"/>
    <w:rsid w:val="00ED565F"/>
    <w:rsid w:val="00ED6275"/>
    <w:rsid w:val="00ED76B4"/>
    <w:rsid w:val="00ED7E21"/>
    <w:rsid w:val="00EE0F8F"/>
    <w:rsid w:val="00EE2BDF"/>
    <w:rsid w:val="00EE38AC"/>
    <w:rsid w:val="00EE42C6"/>
    <w:rsid w:val="00EE44E7"/>
    <w:rsid w:val="00EF4752"/>
    <w:rsid w:val="00EF535D"/>
    <w:rsid w:val="00EF703A"/>
    <w:rsid w:val="00F009E9"/>
    <w:rsid w:val="00F00D26"/>
    <w:rsid w:val="00F04683"/>
    <w:rsid w:val="00F07783"/>
    <w:rsid w:val="00F07C31"/>
    <w:rsid w:val="00F07CAB"/>
    <w:rsid w:val="00F11189"/>
    <w:rsid w:val="00F118E1"/>
    <w:rsid w:val="00F1259C"/>
    <w:rsid w:val="00F12659"/>
    <w:rsid w:val="00F1280A"/>
    <w:rsid w:val="00F1294E"/>
    <w:rsid w:val="00F12F54"/>
    <w:rsid w:val="00F13C7C"/>
    <w:rsid w:val="00F140EF"/>
    <w:rsid w:val="00F15D0C"/>
    <w:rsid w:val="00F17632"/>
    <w:rsid w:val="00F2032D"/>
    <w:rsid w:val="00F20D3D"/>
    <w:rsid w:val="00F2130D"/>
    <w:rsid w:val="00F223BB"/>
    <w:rsid w:val="00F226E8"/>
    <w:rsid w:val="00F2457C"/>
    <w:rsid w:val="00F24AD4"/>
    <w:rsid w:val="00F2514C"/>
    <w:rsid w:val="00F25B84"/>
    <w:rsid w:val="00F25EDA"/>
    <w:rsid w:val="00F2682E"/>
    <w:rsid w:val="00F31824"/>
    <w:rsid w:val="00F32404"/>
    <w:rsid w:val="00F32702"/>
    <w:rsid w:val="00F33730"/>
    <w:rsid w:val="00F3493E"/>
    <w:rsid w:val="00F349BE"/>
    <w:rsid w:val="00F350FF"/>
    <w:rsid w:val="00F372A5"/>
    <w:rsid w:val="00F406D5"/>
    <w:rsid w:val="00F40BE7"/>
    <w:rsid w:val="00F431AA"/>
    <w:rsid w:val="00F46F50"/>
    <w:rsid w:val="00F476AF"/>
    <w:rsid w:val="00F5185E"/>
    <w:rsid w:val="00F51CCF"/>
    <w:rsid w:val="00F530BA"/>
    <w:rsid w:val="00F53E8F"/>
    <w:rsid w:val="00F54CA4"/>
    <w:rsid w:val="00F57826"/>
    <w:rsid w:val="00F60214"/>
    <w:rsid w:val="00F603FE"/>
    <w:rsid w:val="00F60BA8"/>
    <w:rsid w:val="00F65F51"/>
    <w:rsid w:val="00F66B3C"/>
    <w:rsid w:val="00F721A0"/>
    <w:rsid w:val="00F7330A"/>
    <w:rsid w:val="00F81989"/>
    <w:rsid w:val="00F84C8B"/>
    <w:rsid w:val="00F85974"/>
    <w:rsid w:val="00F86FD8"/>
    <w:rsid w:val="00F87300"/>
    <w:rsid w:val="00F874B7"/>
    <w:rsid w:val="00F900D5"/>
    <w:rsid w:val="00F90C16"/>
    <w:rsid w:val="00F918E7"/>
    <w:rsid w:val="00F945D1"/>
    <w:rsid w:val="00F94A57"/>
    <w:rsid w:val="00F95C26"/>
    <w:rsid w:val="00F960EF"/>
    <w:rsid w:val="00F97070"/>
    <w:rsid w:val="00F97756"/>
    <w:rsid w:val="00F97BF2"/>
    <w:rsid w:val="00FA06BF"/>
    <w:rsid w:val="00FA08EB"/>
    <w:rsid w:val="00FA0918"/>
    <w:rsid w:val="00FA1492"/>
    <w:rsid w:val="00FA1646"/>
    <w:rsid w:val="00FA2201"/>
    <w:rsid w:val="00FA300A"/>
    <w:rsid w:val="00FA3E01"/>
    <w:rsid w:val="00FA5B92"/>
    <w:rsid w:val="00FB0244"/>
    <w:rsid w:val="00FB155E"/>
    <w:rsid w:val="00FB170C"/>
    <w:rsid w:val="00FB2D85"/>
    <w:rsid w:val="00FB3E12"/>
    <w:rsid w:val="00FB59A9"/>
    <w:rsid w:val="00FB67BF"/>
    <w:rsid w:val="00FC1101"/>
    <w:rsid w:val="00FC3F80"/>
    <w:rsid w:val="00FD1093"/>
    <w:rsid w:val="00FD5DF9"/>
    <w:rsid w:val="00FD7579"/>
    <w:rsid w:val="00FD7ABD"/>
    <w:rsid w:val="00FE03F3"/>
    <w:rsid w:val="00FE05B2"/>
    <w:rsid w:val="00FE16AA"/>
    <w:rsid w:val="00FE21DF"/>
    <w:rsid w:val="00FE2B8B"/>
    <w:rsid w:val="00FE317D"/>
    <w:rsid w:val="00FE3C62"/>
    <w:rsid w:val="00FE455A"/>
    <w:rsid w:val="00FE6321"/>
    <w:rsid w:val="00FE7B10"/>
    <w:rsid w:val="00FE7B68"/>
    <w:rsid w:val="00FF0FF2"/>
    <w:rsid w:val="00FF256D"/>
    <w:rsid w:val="00FF2770"/>
    <w:rsid w:val="00FF2BE0"/>
    <w:rsid w:val="00FF3E8F"/>
    <w:rsid w:val="00FF5B26"/>
    <w:rsid w:val="5315B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none [3207]" strokecolor="red">
      <v:fill color="none [3207]" on="f"/>
      <v:stroke color="red" weight="3pt"/>
      <v:shadow on="t" type="perspective" color="none [1607]" opacity=".5" offset="1pt" offset2="-1pt"/>
      <o:colormru v:ext="edit" colors="#f93,#ffba75,#fdb82f,#396,teal,#fed88c"/>
    </o:shapedefaults>
    <o:shapelayout v:ext="edit">
      <o:idmap v:ext="edit" data="2"/>
    </o:shapelayout>
  </w:shapeDefaults>
  <w:decimalSymbol w:val="."/>
  <w:listSeparator w:val=","/>
  <w14:docId w14:val="7E2E86BE"/>
  <w15:docId w15:val="{5DF213E1-8552-4C0C-AA08-659F28B0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A1E"/>
  </w:style>
  <w:style w:type="paragraph" w:styleId="Heading1">
    <w:name w:val="heading 1"/>
    <w:basedOn w:val="Normal"/>
    <w:next w:val="Normal"/>
    <w:link w:val="Heading1Char"/>
    <w:uiPriority w:val="9"/>
    <w:qFormat/>
    <w:rsid w:val="000C38C4"/>
    <w:pPr>
      <w:keepNext/>
      <w:keepLines/>
      <w:spacing w:before="240" w:after="0"/>
      <w:outlineLvl w:val="0"/>
    </w:pPr>
    <w:rPr>
      <w:rFonts w:asciiTheme="majorHAnsi" w:eastAsiaTheme="majorEastAsia" w:hAnsiTheme="majorHAnsi" w:cstheme="majorBidi"/>
      <w:color w:val="004C4C" w:themeColor="accent1" w:themeShade="BF"/>
      <w:sz w:val="32"/>
      <w:szCs w:val="32"/>
    </w:rPr>
  </w:style>
  <w:style w:type="paragraph" w:styleId="Heading2">
    <w:name w:val="heading 2"/>
    <w:basedOn w:val="Normal"/>
    <w:next w:val="Normal"/>
    <w:link w:val="Heading2Char"/>
    <w:uiPriority w:val="9"/>
    <w:unhideWhenUsed/>
    <w:qFormat/>
    <w:rsid w:val="000C38C4"/>
    <w:pPr>
      <w:keepNext/>
      <w:keepLines/>
      <w:spacing w:before="40" w:after="0"/>
      <w:outlineLvl w:val="1"/>
    </w:pPr>
    <w:rPr>
      <w:rFonts w:asciiTheme="majorHAnsi" w:eastAsiaTheme="majorEastAsia" w:hAnsiTheme="majorHAnsi" w:cstheme="majorBidi"/>
      <w:color w:val="004C4C" w:themeColor="accent1" w:themeShade="BF"/>
      <w:sz w:val="26"/>
      <w:szCs w:val="26"/>
    </w:rPr>
  </w:style>
  <w:style w:type="paragraph" w:styleId="Heading3">
    <w:name w:val="heading 3"/>
    <w:basedOn w:val="Normal"/>
    <w:next w:val="Normal"/>
    <w:link w:val="Heading3Char"/>
    <w:uiPriority w:val="9"/>
    <w:unhideWhenUsed/>
    <w:qFormat/>
    <w:rsid w:val="00D17EAF"/>
    <w:pPr>
      <w:keepNext/>
      <w:keepLines/>
      <w:spacing w:before="40" w:after="0"/>
      <w:outlineLvl w:val="2"/>
    </w:pPr>
    <w:rPr>
      <w:rFonts w:asciiTheme="majorHAnsi" w:eastAsiaTheme="majorEastAsia" w:hAnsiTheme="majorHAnsi" w:cstheme="majorBidi"/>
      <w:color w:val="003232" w:themeColor="accent1" w:themeShade="7F"/>
      <w:sz w:val="24"/>
      <w:szCs w:val="24"/>
    </w:rPr>
  </w:style>
  <w:style w:type="paragraph" w:styleId="Heading4">
    <w:name w:val="heading 4"/>
    <w:basedOn w:val="Normal"/>
    <w:next w:val="Normal"/>
    <w:link w:val="Heading4Char"/>
    <w:uiPriority w:val="9"/>
    <w:unhideWhenUsed/>
    <w:qFormat/>
    <w:rsid w:val="00B6193E"/>
    <w:pPr>
      <w:keepNext/>
      <w:keepLines/>
      <w:spacing w:before="200" w:after="0"/>
      <w:outlineLvl w:val="3"/>
    </w:pPr>
    <w:rPr>
      <w:rFonts w:asciiTheme="majorHAnsi" w:eastAsiaTheme="majorEastAsia" w:hAnsiTheme="majorHAnsi" w:cstheme="majorBidi"/>
      <w:b/>
      <w:bCs/>
      <w:i/>
      <w:iCs/>
      <w:color w:val="00666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3A89"/>
    <w:rPr>
      <w:color w:val="0563C1" w:themeColor="hyperlink"/>
      <w:u w:val="single"/>
    </w:rPr>
  </w:style>
  <w:style w:type="character" w:styleId="CommentReference">
    <w:name w:val="annotation reference"/>
    <w:basedOn w:val="DefaultParagraphFont"/>
    <w:uiPriority w:val="99"/>
    <w:semiHidden/>
    <w:unhideWhenUsed/>
    <w:rsid w:val="005A2A17"/>
    <w:rPr>
      <w:sz w:val="16"/>
      <w:szCs w:val="16"/>
    </w:rPr>
  </w:style>
  <w:style w:type="paragraph" w:styleId="CommentText">
    <w:name w:val="annotation text"/>
    <w:basedOn w:val="Normal"/>
    <w:link w:val="CommentTextChar"/>
    <w:uiPriority w:val="99"/>
    <w:unhideWhenUsed/>
    <w:rsid w:val="005A2A17"/>
    <w:pPr>
      <w:spacing w:line="240" w:lineRule="auto"/>
    </w:pPr>
    <w:rPr>
      <w:sz w:val="20"/>
      <w:szCs w:val="20"/>
    </w:rPr>
  </w:style>
  <w:style w:type="character" w:customStyle="1" w:styleId="CommentTextChar">
    <w:name w:val="Comment Text Char"/>
    <w:basedOn w:val="DefaultParagraphFont"/>
    <w:link w:val="CommentText"/>
    <w:uiPriority w:val="99"/>
    <w:rsid w:val="005A2A17"/>
    <w:rPr>
      <w:sz w:val="20"/>
      <w:szCs w:val="20"/>
    </w:rPr>
  </w:style>
  <w:style w:type="paragraph" w:styleId="CommentSubject">
    <w:name w:val="annotation subject"/>
    <w:basedOn w:val="CommentText"/>
    <w:next w:val="CommentText"/>
    <w:link w:val="CommentSubjectChar"/>
    <w:uiPriority w:val="99"/>
    <w:semiHidden/>
    <w:unhideWhenUsed/>
    <w:rsid w:val="005A2A17"/>
    <w:rPr>
      <w:b/>
      <w:bCs/>
    </w:rPr>
  </w:style>
  <w:style w:type="character" w:customStyle="1" w:styleId="CommentSubjectChar">
    <w:name w:val="Comment Subject Char"/>
    <w:basedOn w:val="CommentTextChar"/>
    <w:link w:val="CommentSubject"/>
    <w:uiPriority w:val="99"/>
    <w:semiHidden/>
    <w:rsid w:val="005A2A17"/>
    <w:rPr>
      <w:b/>
      <w:bCs/>
      <w:sz w:val="20"/>
      <w:szCs w:val="20"/>
    </w:rPr>
  </w:style>
  <w:style w:type="paragraph" w:styleId="BalloonText">
    <w:name w:val="Balloon Text"/>
    <w:basedOn w:val="Normal"/>
    <w:link w:val="BalloonTextChar"/>
    <w:uiPriority w:val="99"/>
    <w:semiHidden/>
    <w:unhideWhenUsed/>
    <w:rsid w:val="005A2A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A17"/>
    <w:rPr>
      <w:rFonts w:ascii="Segoe UI" w:hAnsi="Segoe UI" w:cs="Segoe UI"/>
      <w:sz w:val="18"/>
      <w:szCs w:val="18"/>
    </w:rPr>
  </w:style>
  <w:style w:type="paragraph" w:styleId="ListParagraph">
    <w:name w:val="List Paragraph"/>
    <w:basedOn w:val="Normal"/>
    <w:link w:val="ListParagraphChar"/>
    <w:uiPriority w:val="99"/>
    <w:qFormat/>
    <w:rsid w:val="00C404C0"/>
    <w:pPr>
      <w:ind w:left="720"/>
      <w:contextualSpacing/>
    </w:pPr>
  </w:style>
  <w:style w:type="character" w:customStyle="1" w:styleId="Heading1Char">
    <w:name w:val="Heading 1 Char"/>
    <w:basedOn w:val="DefaultParagraphFont"/>
    <w:link w:val="Heading1"/>
    <w:uiPriority w:val="9"/>
    <w:rsid w:val="000C38C4"/>
    <w:rPr>
      <w:rFonts w:asciiTheme="majorHAnsi" w:eastAsiaTheme="majorEastAsia" w:hAnsiTheme="majorHAnsi" w:cstheme="majorBidi"/>
      <w:color w:val="004C4C" w:themeColor="accent1" w:themeShade="BF"/>
      <w:sz w:val="32"/>
      <w:szCs w:val="32"/>
    </w:rPr>
  </w:style>
  <w:style w:type="paragraph" w:styleId="TOCHeading">
    <w:name w:val="TOC Heading"/>
    <w:basedOn w:val="Heading1"/>
    <w:next w:val="Normal"/>
    <w:uiPriority w:val="39"/>
    <w:unhideWhenUsed/>
    <w:qFormat/>
    <w:rsid w:val="000C38C4"/>
    <w:pPr>
      <w:outlineLvl w:val="9"/>
    </w:pPr>
  </w:style>
  <w:style w:type="paragraph" w:styleId="TOC1">
    <w:name w:val="toc 1"/>
    <w:basedOn w:val="Normal"/>
    <w:next w:val="Normal"/>
    <w:autoRedefine/>
    <w:uiPriority w:val="39"/>
    <w:unhideWhenUsed/>
    <w:qFormat/>
    <w:rsid w:val="000C38C4"/>
    <w:pPr>
      <w:spacing w:after="100"/>
    </w:pPr>
  </w:style>
  <w:style w:type="character" w:customStyle="1" w:styleId="Heading2Char">
    <w:name w:val="Heading 2 Char"/>
    <w:basedOn w:val="DefaultParagraphFont"/>
    <w:link w:val="Heading2"/>
    <w:uiPriority w:val="9"/>
    <w:rsid w:val="000C38C4"/>
    <w:rPr>
      <w:rFonts w:asciiTheme="majorHAnsi" w:eastAsiaTheme="majorEastAsia" w:hAnsiTheme="majorHAnsi" w:cstheme="majorBidi"/>
      <w:color w:val="004C4C" w:themeColor="accent1" w:themeShade="BF"/>
      <w:sz w:val="26"/>
      <w:szCs w:val="26"/>
    </w:rPr>
  </w:style>
  <w:style w:type="paragraph" w:styleId="TOC2">
    <w:name w:val="toc 2"/>
    <w:basedOn w:val="Normal"/>
    <w:next w:val="Normal"/>
    <w:autoRedefine/>
    <w:uiPriority w:val="39"/>
    <w:unhideWhenUsed/>
    <w:qFormat/>
    <w:rsid w:val="00D17EAF"/>
    <w:pPr>
      <w:spacing w:after="100"/>
      <w:ind w:left="220"/>
    </w:pPr>
  </w:style>
  <w:style w:type="character" w:customStyle="1" w:styleId="Heading3Char">
    <w:name w:val="Heading 3 Char"/>
    <w:basedOn w:val="DefaultParagraphFont"/>
    <w:link w:val="Heading3"/>
    <w:uiPriority w:val="9"/>
    <w:rsid w:val="00D17EAF"/>
    <w:rPr>
      <w:rFonts w:asciiTheme="majorHAnsi" w:eastAsiaTheme="majorEastAsia" w:hAnsiTheme="majorHAnsi" w:cstheme="majorBidi"/>
      <w:color w:val="003232" w:themeColor="accent1" w:themeShade="7F"/>
      <w:sz w:val="24"/>
      <w:szCs w:val="24"/>
    </w:rPr>
  </w:style>
  <w:style w:type="paragraph" w:styleId="TOC3">
    <w:name w:val="toc 3"/>
    <w:basedOn w:val="Normal"/>
    <w:next w:val="Normal"/>
    <w:autoRedefine/>
    <w:uiPriority w:val="39"/>
    <w:unhideWhenUsed/>
    <w:qFormat/>
    <w:rsid w:val="00D17EAF"/>
    <w:pPr>
      <w:spacing w:after="100"/>
      <w:ind w:left="440"/>
    </w:pPr>
  </w:style>
  <w:style w:type="character" w:styleId="FollowedHyperlink">
    <w:name w:val="FollowedHyperlink"/>
    <w:basedOn w:val="DefaultParagraphFont"/>
    <w:uiPriority w:val="99"/>
    <w:semiHidden/>
    <w:unhideWhenUsed/>
    <w:rsid w:val="007239A3"/>
    <w:rPr>
      <w:color w:val="954F72" w:themeColor="followedHyperlink"/>
      <w:u w:val="single"/>
    </w:rPr>
  </w:style>
  <w:style w:type="table" w:styleId="TableGrid">
    <w:name w:val="Table Grid"/>
    <w:basedOn w:val="TableNormal"/>
    <w:uiPriority w:val="59"/>
    <w:rsid w:val="00522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07934"/>
    <w:pPr>
      <w:spacing w:before="100" w:beforeAutospacing="1" w:after="100" w:afterAutospacing="1" w:line="240" w:lineRule="auto"/>
    </w:pPr>
    <w:rPr>
      <w:rFonts w:ascii="Times New Roman" w:hAnsi="Times New Roman" w:cs="Times New Roman"/>
      <w:sz w:val="24"/>
      <w:szCs w:val="24"/>
    </w:rPr>
  </w:style>
  <w:style w:type="paragraph" w:styleId="IntenseQuote">
    <w:name w:val="Intense Quote"/>
    <w:basedOn w:val="Normal"/>
    <w:next w:val="Normal"/>
    <w:link w:val="IntenseQuoteChar"/>
    <w:uiPriority w:val="30"/>
    <w:qFormat/>
    <w:rsid w:val="00307934"/>
    <w:pPr>
      <w:pBdr>
        <w:bottom w:val="single" w:sz="4" w:space="4" w:color="006666" w:themeColor="accent1"/>
      </w:pBdr>
      <w:spacing w:before="200" w:after="280" w:line="240" w:lineRule="auto"/>
      <w:ind w:left="936" w:right="936"/>
    </w:pPr>
    <w:rPr>
      <w:rFonts w:ascii="Times New Roman" w:hAnsi="Times New Roman" w:cs="Times New Roman"/>
      <w:b/>
      <w:bCs/>
      <w:i/>
      <w:iCs/>
      <w:color w:val="006666" w:themeColor="accent1"/>
      <w:sz w:val="24"/>
      <w:szCs w:val="24"/>
    </w:rPr>
  </w:style>
  <w:style w:type="character" w:customStyle="1" w:styleId="IntenseQuoteChar">
    <w:name w:val="Intense Quote Char"/>
    <w:basedOn w:val="DefaultParagraphFont"/>
    <w:link w:val="IntenseQuote"/>
    <w:uiPriority w:val="30"/>
    <w:rsid w:val="00307934"/>
    <w:rPr>
      <w:rFonts w:ascii="Times New Roman" w:hAnsi="Times New Roman" w:cs="Times New Roman"/>
      <w:b/>
      <w:bCs/>
      <w:i/>
      <w:iCs/>
      <w:color w:val="006666" w:themeColor="accent1"/>
      <w:sz w:val="24"/>
      <w:szCs w:val="24"/>
    </w:rPr>
  </w:style>
  <w:style w:type="paragraph" w:styleId="Header">
    <w:name w:val="header"/>
    <w:basedOn w:val="Normal"/>
    <w:link w:val="HeaderChar"/>
    <w:uiPriority w:val="99"/>
    <w:unhideWhenUsed/>
    <w:rsid w:val="00105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A96"/>
  </w:style>
  <w:style w:type="paragraph" w:styleId="Footer">
    <w:name w:val="footer"/>
    <w:basedOn w:val="Normal"/>
    <w:link w:val="FooterChar"/>
    <w:uiPriority w:val="99"/>
    <w:unhideWhenUsed/>
    <w:rsid w:val="00105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A96"/>
  </w:style>
  <w:style w:type="table" w:customStyle="1" w:styleId="LightGrid-Accent11">
    <w:name w:val="Light Grid - Accent 11"/>
    <w:basedOn w:val="TableNormal"/>
    <w:uiPriority w:val="62"/>
    <w:rsid w:val="00E7728D"/>
    <w:pPr>
      <w:spacing w:after="0" w:line="240" w:lineRule="auto"/>
    </w:pPr>
    <w:tblPr>
      <w:tblStyleRowBandSize w:val="1"/>
      <w:tblStyleColBandSize w:val="1"/>
      <w:tblBorders>
        <w:top w:val="single" w:sz="8" w:space="0" w:color="006666" w:themeColor="accent1"/>
        <w:left w:val="single" w:sz="8" w:space="0" w:color="006666" w:themeColor="accent1"/>
        <w:bottom w:val="single" w:sz="8" w:space="0" w:color="006666" w:themeColor="accent1"/>
        <w:right w:val="single" w:sz="8" w:space="0" w:color="006666" w:themeColor="accent1"/>
        <w:insideH w:val="single" w:sz="8" w:space="0" w:color="006666" w:themeColor="accent1"/>
        <w:insideV w:val="single" w:sz="8" w:space="0" w:color="00666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66" w:themeColor="accent1"/>
          <w:left w:val="single" w:sz="8" w:space="0" w:color="006666" w:themeColor="accent1"/>
          <w:bottom w:val="single" w:sz="18" w:space="0" w:color="006666" w:themeColor="accent1"/>
          <w:right w:val="single" w:sz="8" w:space="0" w:color="006666" w:themeColor="accent1"/>
          <w:insideH w:val="nil"/>
          <w:insideV w:val="single" w:sz="8" w:space="0" w:color="00666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66" w:themeColor="accent1"/>
          <w:left w:val="single" w:sz="8" w:space="0" w:color="006666" w:themeColor="accent1"/>
          <w:bottom w:val="single" w:sz="8" w:space="0" w:color="006666" w:themeColor="accent1"/>
          <w:right w:val="single" w:sz="8" w:space="0" w:color="006666" w:themeColor="accent1"/>
          <w:insideH w:val="nil"/>
          <w:insideV w:val="single" w:sz="8" w:space="0" w:color="00666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66" w:themeColor="accent1"/>
          <w:left w:val="single" w:sz="8" w:space="0" w:color="006666" w:themeColor="accent1"/>
          <w:bottom w:val="single" w:sz="8" w:space="0" w:color="006666" w:themeColor="accent1"/>
          <w:right w:val="single" w:sz="8" w:space="0" w:color="006666" w:themeColor="accent1"/>
        </w:tcBorders>
      </w:tcPr>
    </w:tblStylePr>
    <w:tblStylePr w:type="band1Vert">
      <w:tblPr/>
      <w:tcPr>
        <w:tcBorders>
          <w:top w:val="single" w:sz="8" w:space="0" w:color="006666" w:themeColor="accent1"/>
          <w:left w:val="single" w:sz="8" w:space="0" w:color="006666" w:themeColor="accent1"/>
          <w:bottom w:val="single" w:sz="8" w:space="0" w:color="006666" w:themeColor="accent1"/>
          <w:right w:val="single" w:sz="8" w:space="0" w:color="006666" w:themeColor="accent1"/>
        </w:tcBorders>
        <w:shd w:val="clear" w:color="auto" w:fill="9AFFFF" w:themeFill="accent1" w:themeFillTint="3F"/>
      </w:tcPr>
    </w:tblStylePr>
    <w:tblStylePr w:type="band1Horz">
      <w:tblPr/>
      <w:tcPr>
        <w:tcBorders>
          <w:top w:val="single" w:sz="8" w:space="0" w:color="006666" w:themeColor="accent1"/>
          <w:left w:val="single" w:sz="8" w:space="0" w:color="006666" w:themeColor="accent1"/>
          <w:bottom w:val="single" w:sz="8" w:space="0" w:color="006666" w:themeColor="accent1"/>
          <w:right w:val="single" w:sz="8" w:space="0" w:color="006666" w:themeColor="accent1"/>
          <w:insideV w:val="single" w:sz="8" w:space="0" w:color="006666" w:themeColor="accent1"/>
        </w:tcBorders>
        <w:shd w:val="clear" w:color="auto" w:fill="9AFFFF" w:themeFill="accent1" w:themeFillTint="3F"/>
      </w:tcPr>
    </w:tblStylePr>
    <w:tblStylePr w:type="band2Horz">
      <w:tblPr/>
      <w:tcPr>
        <w:tcBorders>
          <w:top w:val="single" w:sz="8" w:space="0" w:color="006666" w:themeColor="accent1"/>
          <w:left w:val="single" w:sz="8" w:space="0" w:color="006666" w:themeColor="accent1"/>
          <w:bottom w:val="single" w:sz="8" w:space="0" w:color="006666" w:themeColor="accent1"/>
          <w:right w:val="single" w:sz="8" w:space="0" w:color="006666" w:themeColor="accent1"/>
          <w:insideV w:val="single" w:sz="8" w:space="0" w:color="006666" w:themeColor="accent1"/>
        </w:tcBorders>
      </w:tcPr>
    </w:tblStylePr>
  </w:style>
  <w:style w:type="paragraph" w:styleId="DocumentMap">
    <w:name w:val="Document Map"/>
    <w:basedOn w:val="Normal"/>
    <w:link w:val="DocumentMapChar"/>
    <w:uiPriority w:val="99"/>
    <w:semiHidden/>
    <w:unhideWhenUsed/>
    <w:rsid w:val="0008024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80240"/>
    <w:rPr>
      <w:rFonts w:ascii="Tahoma" w:hAnsi="Tahoma" w:cs="Tahoma"/>
      <w:sz w:val="16"/>
      <w:szCs w:val="16"/>
    </w:rPr>
  </w:style>
  <w:style w:type="paragraph" w:styleId="Revision">
    <w:name w:val="Revision"/>
    <w:hidden/>
    <w:uiPriority w:val="99"/>
    <w:semiHidden/>
    <w:rsid w:val="00A95DB9"/>
    <w:pPr>
      <w:spacing w:after="0" w:line="240" w:lineRule="auto"/>
    </w:pPr>
  </w:style>
  <w:style w:type="paragraph" w:customStyle="1" w:styleId="Normal1">
    <w:name w:val="Normal1"/>
    <w:rsid w:val="00565CF5"/>
    <w:pPr>
      <w:spacing w:before="200" w:after="200" w:line="276" w:lineRule="auto"/>
    </w:pPr>
    <w:rPr>
      <w:rFonts w:eastAsiaTheme="minorEastAsia"/>
      <w:lang w:bidi="en-US"/>
    </w:rPr>
  </w:style>
  <w:style w:type="character" w:customStyle="1" w:styleId="ListParagraphChar">
    <w:name w:val="List Paragraph Char"/>
    <w:basedOn w:val="DefaultParagraphFont"/>
    <w:link w:val="ListParagraph"/>
    <w:uiPriority w:val="99"/>
    <w:rsid w:val="00CB4134"/>
  </w:style>
  <w:style w:type="paragraph" w:styleId="Title">
    <w:name w:val="Title"/>
    <w:basedOn w:val="Normal"/>
    <w:next w:val="Normal"/>
    <w:link w:val="TitleChar"/>
    <w:uiPriority w:val="10"/>
    <w:qFormat/>
    <w:rsid w:val="00521CA3"/>
    <w:pPr>
      <w:pBdr>
        <w:bottom w:val="single" w:sz="8" w:space="4" w:color="006666" w:themeColor="accent1"/>
      </w:pBdr>
      <w:spacing w:after="300" w:line="240" w:lineRule="auto"/>
      <w:contextualSpacing/>
    </w:pPr>
    <w:rPr>
      <w:rFonts w:asciiTheme="majorHAnsi" w:eastAsiaTheme="majorEastAsia" w:hAnsiTheme="majorHAnsi" w:cstheme="majorBidi"/>
      <w:color w:val="BFBFBF" w:themeColor="text2" w:themeShade="BF"/>
      <w:spacing w:val="5"/>
      <w:kern w:val="28"/>
      <w:sz w:val="52"/>
      <w:szCs w:val="52"/>
    </w:rPr>
  </w:style>
  <w:style w:type="character" w:customStyle="1" w:styleId="TitleChar">
    <w:name w:val="Title Char"/>
    <w:basedOn w:val="DefaultParagraphFont"/>
    <w:link w:val="Title"/>
    <w:uiPriority w:val="10"/>
    <w:rsid w:val="00521CA3"/>
    <w:rPr>
      <w:rFonts w:asciiTheme="majorHAnsi" w:eastAsiaTheme="majorEastAsia" w:hAnsiTheme="majorHAnsi" w:cstheme="majorBidi"/>
      <w:color w:val="BFBFBF" w:themeColor="text2" w:themeShade="BF"/>
      <w:spacing w:val="5"/>
      <w:kern w:val="28"/>
      <w:sz w:val="52"/>
      <w:szCs w:val="52"/>
    </w:rPr>
  </w:style>
  <w:style w:type="paragraph" w:styleId="Subtitle">
    <w:name w:val="Subtitle"/>
    <w:basedOn w:val="Normal"/>
    <w:next w:val="Normal"/>
    <w:link w:val="SubtitleChar"/>
    <w:uiPriority w:val="11"/>
    <w:qFormat/>
    <w:rsid w:val="00521CA3"/>
    <w:pPr>
      <w:numPr>
        <w:ilvl w:val="1"/>
      </w:numPr>
    </w:pPr>
    <w:rPr>
      <w:rFonts w:asciiTheme="majorHAnsi" w:eastAsiaTheme="majorEastAsia" w:hAnsiTheme="majorHAnsi" w:cstheme="majorBidi"/>
      <w:i/>
      <w:iCs/>
      <w:color w:val="006666" w:themeColor="accent1"/>
      <w:spacing w:val="15"/>
      <w:sz w:val="24"/>
      <w:szCs w:val="24"/>
    </w:rPr>
  </w:style>
  <w:style w:type="character" w:customStyle="1" w:styleId="SubtitleChar">
    <w:name w:val="Subtitle Char"/>
    <w:basedOn w:val="DefaultParagraphFont"/>
    <w:link w:val="Subtitle"/>
    <w:uiPriority w:val="11"/>
    <w:rsid w:val="00521CA3"/>
    <w:rPr>
      <w:rFonts w:asciiTheme="majorHAnsi" w:eastAsiaTheme="majorEastAsia" w:hAnsiTheme="majorHAnsi" w:cstheme="majorBidi"/>
      <w:i/>
      <w:iCs/>
      <w:color w:val="006666" w:themeColor="accent1"/>
      <w:spacing w:val="15"/>
      <w:sz w:val="24"/>
      <w:szCs w:val="24"/>
    </w:rPr>
  </w:style>
  <w:style w:type="character" w:styleId="Emphasis">
    <w:name w:val="Emphasis"/>
    <w:basedOn w:val="DefaultParagraphFont"/>
    <w:uiPriority w:val="20"/>
    <w:qFormat/>
    <w:rsid w:val="0076718D"/>
    <w:rPr>
      <w:i/>
      <w:iCs/>
    </w:rPr>
  </w:style>
  <w:style w:type="paragraph" w:styleId="NoSpacing">
    <w:name w:val="No Spacing"/>
    <w:uiPriority w:val="1"/>
    <w:qFormat/>
    <w:rsid w:val="00326F42"/>
    <w:pPr>
      <w:spacing w:after="0" w:line="240" w:lineRule="auto"/>
    </w:pPr>
  </w:style>
  <w:style w:type="character" w:customStyle="1" w:styleId="Heading4Char">
    <w:name w:val="Heading 4 Char"/>
    <w:basedOn w:val="DefaultParagraphFont"/>
    <w:link w:val="Heading4"/>
    <w:uiPriority w:val="9"/>
    <w:rsid w:val="00B6193E"/>
    <w:rPr>
      <w:rFonts w:asciiTheme="majorHAnsi" w:eastAsiaTheme="majorEastAsia" w:hAnsiTheme="majorHAnsi" w:cstheme="majorBidi"/>
      <w:b/>
      <w:bCs/>
      <w:i/>
      <w:iCs/>
      <w:color w:val="006666" w:themeColor="accent1"/>
    </w:rPr>
  </w:style>
  <w:style w:type="table" w:customStyle="1" w:styleId="LightList-Accent11">
    <w:name w:val="Light List - Accent 11"/>
    <w:basedOn w:val="TableNormal"/>
    <w:uiPriority w:val="61"/>
    <w:rsid w:val="00282C0B"/>
    <w:pPr>
      <w:spacing w:after="0" w:line="240" w:lineRule="auto"/>
    </w:pPr>
    <w:tblPr>
      <w:tblStyleRowBandSize w:val="1"/>
      <w:tblStyleColBandSize w:val="1"/>
      <w:tblBorders>
        <w:top w:val="single" w:sz="8" w:space="0" w:color="006666" w:themeColor="accent1"/>
        <w:left w:val="single" w:sz="8" w:space="0" w:color="006666" w:themeColor="accent1"/>
        <w:bottom w:val="single" w:sz="8" w:space="0" w:color="006666" w:themeColor="accent1"/>
        <w:right w:val="single" w:sz="8" w:space="0" w:color="006666" w:themeColor="accent1"/>
      </w:tblBorders>
    </w:tblPr>
    <w:tblStylePr w:type="firstRow">
      <w:pPr>
        <w:spacing w:before="0" w:after="0" w:line="240" w:lineRule="auto"/>
      </w:pPr>
      <w:rPr>
        <w:b/>
        <w:bCs/>
        <w:color w:val="FFFFFF" w:themeColor="background1"/>
      </w:rPr>
      <w:tblPr/>
      <w:tcPr>
        <w:shd w:val="clear" w:color="auto" w:fill="006666" w:themeFill="accent1"/>
      </w:tcPr>
    </w:tblStylePr>
    <w:tblStylePr w:type="lastRow">
      <w:pPr>
        <w:spacing w:before="0" w:after="0" w:line="240" w:lineRule="auto"/>
      </w:pPr>
      <w:rPr>
        <w:b/>
        <w:bCs/>
      </w:rPr>
      <w:tblPr/>
      <w:tcPr>
        <w:tcBorders>
          <w:top w:val="double" w:sz="6" w:space="0" w:color="006666" w:themeColor="accent1"/>
          <w:left w:val="single" w:sz="8" w:space="0" w:color="006666" w:themeColor="accent1"/>
          <w:bottom w:val="single" w:sz="8" w:space="0" w:color="006666" w:themeColor="accent1"/>
          <w:right w:val="single" w:sz="8" w:space="0" w:color="006666" w:themeColor="accent1"/>
        </w:tcBorders>
      </w:tcPr>
    </w:tblStylePr>
    <w:tblStylePr w:type="firstCol">
      <w:rPr>
        <w:b/>
        <w:bCs/>
      </w:rPr>
    </w:tblStylePr>
    <w:tblStylePr w:type="lastCol">
      <w:rPr>
        <w:b/>
        <w:bCs/>
      </w:rPr>
    </w:tblStylePr>
    <w:tblStylePr w:type="band1Vert">
      <w:tblPr/>
      <w:tcPr>
        <w:tcBorders>
          <w:top w:val="single" w:sz="8" w:space="0" w:color="006666" w:themeColor="accent1"/>
          <w:left w:val="single" w:sz="8" w:space="0" w:color="006666" w:themeColor="accent1"/>
          <w:bottom w:val="single" w:sz="8" w:space="0" w:color="006666" w:themeColor="accent1"/>
          <w:right w:val="single" w:sz="8" w:space="0" w:color="006666" w:themeColor="accent1"/>
        </w:tcBorders>
      </w:tcPr>
    </w:tblStylePr>
    <w:tblStylePr w:type="band1Horz">
      <w:tblPr/>
      <w:tcPr>
        <w:tcBorders>
          <w:top w:val="single" w:sz="8" w:space="0" w:color="006666" w:themeColor="accent1"/>
          <w:left w:val="single" w:sz="8" w:space="0" w:color="006666" w:themeColor="accent1"/>
          <w:bottom w:val="single" w:sz="8" w:space="0" w:color="006666" w:themeColor="accent1"/>
          <w:right w:val="single" w:sz="8" w:space="0" w:color="006666" w:themeColor="accent1"/>
        </w:tcBorders>
      </w:tcPr>
    </w:tblStylePr>
  </w:style>
  <w:style w:type="table" w:styleId="LightList-Accent4">
    <w:name w:val="Light List Accent 4"/>
    <w:basedOn w:val="TableNormal"/>
    <w:uiPriority w:val="61"/>
    <w:rsid w:val="00282C0B"/>
    <w:pPr>
      <w:spacing w:after="0" w:line="240" w:lineRule="auto"/>
    </w:pPr>
    <w:tblPr>
      <w:tblStyleRowBandSize w:val="1"/>
      <w:tblStyleColBandSize w:val="1"/>
      <w:tblBorders>
        <w:top w:val="single" w:sz="8" w:space="0" w:color="006666" w:themeColor="accent4"/>
        <w:left w:val="single" w:sz="8" w:space="0" w:color="006666" w:themeColor="accent4"/>
        <w:bottom w:val="single" w:sz="8" w:space="0" w:color="006666" w:themeColor="accent4"/>
        <w:right w:val="single" w:sz="8" w:space="0" w:color="006666" w:themeColor="accent4"/>
      </w:tblBorders>
    </w:tblPr>
    <w:tblStylePr w:type="firstRow">
      <w:pPr>
        <w:spacing w:before="0" w:after="0" w:line="240" w:lineRule="auto"/>
      </w:pPr>
      <w:rPr>
        <w:b/>
        <w:bCs/>
        <w:color w:val="FFFFFF" w:themeColor="background1"/>
      </w:rPr>
      <w:tblPr/>
      <w:tcPr>
        <w:shd w:val="clear" w:color="auto" w:fill="006666" w:themeFill="accent4"/>
      </w:tcPr>
    </w:tblStylePr>
    <w:tblStylePr w:type="lastRow">
      <w:pPr>
        <w:spacing w:before="0" w:after="0" w:line="240" w:lineRule="auto"/>
      </w:pPr>
      <w:rPr>
        <w:b/>
        <w:bCs/>
      </w:rPr>
      <w:tblPr/>
      <w:tcPr>
        <w:tcBorders>
          <w:top w:val="double" w:sz="6" w:space="0" w:color="006666" w:themeColor="accent4"/>
          <w:left w:val="single" w:sz="8" w:space="0" w:color="006666" w:themeColor="accent4"/>
          <w:bottom w:val="single" w:sz="8" w:space="0" w:color="006666" w:themeColor="accent4"/>
          <w:right w:val="single" w:sz="8" w:space="0" w:color="006666" w:themeColor="accent4"/>
        </w:tcBorders>
      </w:tcPr>
    </w:tblStylePr>
    <w:tblStylePr w:type="firstCol">
      <w:rPr>
        <w:b/>
        <w:bCs/>
      </w:rPr>
    </w:tblStylePr>
    <w:tblStylePr w:type="lastCol">
      <w:rPr>
        <w:b/>
        <w:bCs/>
      </w:rPr>
    </w:tblStylePr>
    <w:tblStylePr w:type="band1Vert">
      <w:tblPr/>
      <w:tcPr>
        <w:tcBorders>
          <w:top w:val="single" w:sz="8" w:space="0" w:color="006666" w:themeColor="accent4"/>
          <w:left w:val="single" w:sz="8" w:space="0" w:color="006666" w:themeColor="accent4"/>
          <w:bottom w:val="single" w:sz="8" w:space="0" w:color="006666" w:themeColor="accent4"/>
          <w:right w:val="single" w:sz="8" w:space="0" w:color="006666" w:themeColor="accent4"/>
        </w:tcBorders>
      </w:tcPr>
    </w:tblStylePr>
    <w:tblStylePr w:type="band1Horz">
      <w:tblPr/>
      <w:tcPr>
        <w:tcBorders>
          <w:top w:val="single" w:sz="8" w:space="0" w:color="006666" w:themeColor="accent4"/>
          <w:left w:val="single" w:sz="8" w:space="0" w:color="006666" w:themeColor="accent4"/>
          <w:bottom w:val="single" w:sz="8" w:space="0" w:color="006666" w:themeColor="accent4"/>
          <w:right w:val="single" w:sz="8" w:space="0" w:color="006666" w:themeColor="accent4"/>
        </w:tcBorders>
      </w:tcPr>
    </w:tblStylePr>
  </w:style>
  <w:style w:type="table" w:styleId="LightList-Accent3">
    <w:name w:val="Light List Accent 3"/>
    <w:basedOn w:val="TableNormal"/>
    <w:uiPriority w:val="61"/>
    <w:rsid w:val="00282C0B"/>
    <w:pPr>
      <w:spacing w:after="0" w:line="240" w:lineRule="auto"/>
    </w:pPr>
    <w:tblPr>
      <w:tblStyleRowBandSize w:val="1"/>
      <w:tblStyleColBandSize w:val="1"/>
      <w:tblBorders>
        <w:top w:val="single" w:sz="8" w:space="0" w:color="006666" w:themeColor="accent3"/>
        <w:left w:val="single" w:sz="8" w:space="0" w:color="006666" w:themeColor="accent3"/>
        <w:bottom w:val="single" w:sz="8" w:space="0" w:color="006666" w:themeColor="accent3"/>
        <w:right w:val="single" w:sz="8" w:space="0" w:color="006666" w:themeColor="accent3"/>
      </w:tblBorders>
    </w:tblPr>
    <w:tblStylePr w:type="firstRow">
      <w:pPr>
        <w:spacing w:before="0" w:after="0" w:line="240" w:lineRule="auto"/>
      </w:pPr>
      <w:rPr>
        <w:b/>
        <w:bCs/>
        <w:color w:val="FFFFFF" w:themeColor="background1"/>
      </w:rPr>
      <w:tblPr/>
      <w:tcPr>
        <w:shd w:val="clear" w:color="auto" w:fill="006666" w:themeFill="accent3"/>
      </w:tcPr>
    </w:tblStylePr>
    <w:tblStylePr w:type="lastRow">
      <w:pPr>
        <w:spacing w:before="0" w:after="0" w:line="240" w:lineRule="auto"/>
      </w:pPr>
      <w:rPr>
        <w:b/>
        <w:bCs/>
      </w:rPr>
      <w:tblPr/>
      <w:tcPr>
        <w:tcBorders>
          <w:top w:val="double" w:sz="6" w:space="0" w:color="006666" w:themeColor="accent3"/>
          <w:left w:val="single" w:sz="8" w:space="0" w:color="006666" w:themeColor="accent3"/>
          <w:bottom w:val="single" w:sz="8" w:space="0" w:color="006666" w:themeColor="accent3"/>
          <w:right w:val="single" w:sz="8" w:space="0" w:color="006666" w:themeColor="accent3"/>
        </w:tcBorders>
      </w:tcPr>
    </w:tblStylePr>
    <w:tblStylePr w:type="firstCol">
      <w:rPr>
        <w:b/>
        <w:bCs/>
      </w:rPr>
    </w:tblStylePr>
    <w:tblStylePr w:type="lastCol">
      <w:rPr>
        <w:b/>
        <w:bCs/>
      </w:rPr>
    </w:tblStylePr>
    <w:tblStylePr w:type="band1Vert">
      <w:tblPr/>
      <w:tcPr>
        <w:tcBorders>
          <w:top w:val="single" w:sz="8" w:space="0" w:color="006666" w:themeColor="accent3"/>
          <w:left w:val="single" w:sz="8" w:space="0" w:color="006666" w:themeColor="accent3"/>
          <w:bottom w:val="single" w:sz="8" w:space="0" w:color="006666" w:themeColor="accent3"/>
          <w:right w:val="single" w:sz="8" w:space="0" w:color="006666" w:themeColor="accent3"/>
        </w:tcBorders>
      </w:tcPr>
    </w:tblStylePr>
    <w:tblStylePr w:type="band1Horz">
      <w:tblPr/>
      <w:tcPr>
        <w:tcBorders>
          <w:top w:val="single" w:sz="8" w:space="0" w:color="006666" w:themeColor="accent3"/>
          <w:left w:val="single" w:sz="8" w:space="0" w:color="006666" w:themeColor="accent3"/>
          <w:bottom w:val="single" w:sz="8" w:space="0" w:color="006666" w:themeColor="accent3"/>
          <w:right w:val="single" w:sz="8" w:space="0" w:color="006666" w:themeColor="accent3"/>
        </w:tcBorders>
      </w:tcPr>
    </w:tblStylePr>
  </w:style>
  <w:style w:type="table" w:styleId="LightShading-Accent6">
    <w:name w:val="Light Shading Accent 6"/>
    <w:basedOn w:val="TableNormal"/>
    <w:uiPriority w:val="60"/>
    <w:rsid w:val="00282C0B"/>
    <w:pPr>
      <w:spacing w:after="0" w:line="240" w:lineRule="auto"/>
    </w:pPr>
    <w:rPr>
      <w:color w:val="004C4C" w:themeColor="accent6" w:themeShade="BF"/>
    </w:rPr>
    <w:tblPr>
      <w:tblStyleRowBandSize w:val="1"/>
      <w:tblStyleColBandSize w:val="1"/>
      <w:tblBorders>
        <w:top w:val="single" w:sz="8" w:space="0" w:color="006666" w:themeColor="accent6"/>
        <w:bottom w:val="single" w:sz="8" w:space="0" w:color="006666" w:themeColor="accent6"/>
      </w:tblBorders>
    </w:tblPr>
    <w:tblStylePr w:type="firstRow">
      <w:pPr>
        <w:spacing w:before="0" w:after="0" w:line="240" w:lineRule="auto"/>
      </w:pPr>
      <w:rPr>
        <w:b/>
        <w:bCs/>
      </w:rPr>
      <w:tblPr/>
      <w:tcPr>
        <w:tcBorders>
          <w:top w:val="single" w:sz="8" w:space="0" w:color="006666" w:themeColor="accent6"/>
          <w:left w:val="nil"/>
          <w:bottom w:val="single" w:sz="8" w:space="0" w:color="006666" w:themeColor="accent6"/>
          <w:right w:val="nil"/>
          <w:insideH w:val="nil"/>
          <w:insideV w:val="nil"/>
        </w:tcBorders>
      </w:tcPr>
    </w:tblStylePr>
    <w:tblStylePr w:type="lastRow">
      <w:pPr>
        <w:spacing w:before="0" w:after="0" w:line="240" w:lineRule="auto"/>
      </w:pPr>
      <w:rPr>
        <w:b/>
        <w:bCs/>
      </w:rPr>
      <w:tblPr/>
      <w:tcPr>
        <w:tcBorders>
          <w:top w:val="single" w:sz="8" w:space="0" w:color="006666" w:themeColor="accent6"/>
          <w:left w:val="nil"/>
          <w:bottom w:val="single" w:sz="8" w:space="0" w:color="00666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FF" w:themeFill="accent6" w:themeFillTint="3F"/>
      </w:tcPr>
    </w:tblStylePr>
    <w:tblStylePr w:type="band1Horz">
      <w:tblPr/>
      <w:tcPr>
        <w:tcBorders>
          <w:left w:val="nil"/>
          <w:right w:val="nil"/>
          <w:insideH w:val="nil"/>
          <w:insideV w:val="nil"/>
        </w:tcBorders>
        <w:shd w:val="clear" w:color="auto" w:fill="9AFFFF" w:themeFill="accent6" w:themeFillTint="3F"/>
      </w:tcPr>
    </w:tblStylePr>
  </w:style>
  <w:style w:type="table" w:styleId="LightShading-Accent4">
    <w:name w:val="Light Shading Accent 4"/>
    <w:basedOn w:val="TableNormal"/>
    <w:uiPriority w:val="60"/>
    <w:rsid w:val="00282C0B"/>
    <w:pPr>
      <w:spacing w:after="0" w:line="240" w:lineRule="auto"/>
    </w:pPr>
    <w:rPr>
      <w:color w:val="004C4C" w:themeColor="accent4" w:themeShade="BF"/>
    </w:rPr>
    <w:tblPr>
      <w:tblStyleRowBandSize w:val="1"/>
      <w:tblStyleColBandSize w:val="1"/>
      <w:tblBorders>
        <w:top w:val="single" w:sz="8" w:space="0" w:color="006666" w:themeColor="accent4"/>
        <w:bottom w:val="single" w:sz="8" w:space="0" w:color="006666" w:themeColor="accent4"/>
      </w:tblBorders>
    </w:tblPr>
    <w:tblStylePr w:type="firstRow">
      <w:pPr>
        <w:spacing w:before="0" w:after="0" w:line="240" w:lineRule="auto"/>
      </w:pPr>
      <w:rPr>
        <w:b/>
        <w:bCs/>
      </w:rPr>
      <w:tblPr/>
      <w:tcPr>
        <w:tcBorders>
          <w:top w:val="single" w:sz="8" w:space="0" w:color="006666" w:themeColor="accent4"/>
          <w:left w:val="nil"/>
          <w:bottom w:val="single" w:sz="8" w:space="0" w:color="006666" w:themeColor="accent4"/>
          <w:right w:val="nil"/>
          <w:insideH w:val="nil"/>
          <w:insideV w:val="nil"/>
        </w:tcBorders>
      </w:tcPr>
    </w:tblStylePr>
    <w:tblStylePr w:type="lastRow">
      <w:pPr>
        <w:spacing w:before="0" w:after="0" w:line="240" w:lineRule="auto"/>
      </w:pPr>
      <w:rPr>
        <w:b/>
        <w:bCs/>
      </w:rPr>
      <w:tblPr/>
      <w:tcPr>
        <w:tcBorders>
          <w:top w:val="single" w:sz="8" w:space="0" w:color="006666" w:themeColor="accent4"/>
          <w:left w:val="nil"/>
          <w:bottom w:val="single" w:sz="8" w:space="0" w:color="00666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FF" w:themeFill="accent4" w:themeFillTint="3F"/>
      </w:tcPr>
    </w:tblStylePr>
    <w:tblStylePr w:type="band1Horz">
      <w:tblPr/>
      <w:tcPr>
        <w:tcBorders>
          <w:left w:val="nil"/>
          <w:right w:val="nil"/>
          <w:insideH w:val="nil"/>
          <w:insideV w:val="nil"/>
        </w:tcBorders>
        <w:shd w:val="clear" w:color="auto" w:fill="9AFFFF" w:themeFill="accent4" w:themeFillTint="3F"/>
      </w:tcPr>
    </w:tblStylePr>
  </w:style>
  <w:style w:type="table" w:customStyle="1" w:styleId="LightShading-Accent11">
    <w:name w:val="Light Shading - Accent 11"/>
    <w:basedOn w:val="TableNormal"/>
    <w:uiPriority w:val="60"/>
    <w:rsid w:val="00282C0B"/>
    <w:pPr>
      <w:spacing w:after="0" w:line="240" w:lineRule="auto"/>
    </w:pPr>
    <w:rPr>
      <w:color w:val="004C4C" w:themeColor="accent1" w:themeShade="BF"/>
    </w:rPr>
    <w:tblPr>
      <w:tblStyleRowBandSize w:val="1"/>
      <w:tblStyleColBandSize w:val="1"/>
      <w:tblBorders>
        <w:top w:val="single" w:sz="8" w:space="0" w:color="006666" w:themeColor="accent1"/>
        <w:bottom w:val="single" w:sz="8" w:space="0" w:color="006666" w:themeColor="accent1"/>
      </w:tblBorders>
    </w:tblPr>
    <w:tblStylePr w:type="firstRow">
      <w:pPr>
        <w:spacing w:before="0" w:after="0" w:line="240" w:lineRule="auto"/>
      </w:pPr>
      <w:rPr>
        <w:b/>
        <w:bCs/>
      </w:rPr>
      <w:tblPr/>
      <w:tcPr>
        <w:tcBorders>
          <w:top w:val="single" w:sz="8" w:space="0" w:color="006666" w:themeColor="accent1"/>
          <w:left w:val="nil"/>
          <w:bottom w:val="single" w:sz="8" w:space="0" w:color="006666" w:themeColor="accent1"/>
          <w:right w:val="nil"/>
          <w:insideH w:val="nil"/>
          <w:insideV w:val="nil"/>
        </w:tcBorders>
      </w:tcPr>
    </w:tblStylePr>
    <w:tblStylePr w:type="lastRow">
      <w:pPr>
        <w:spacing w:before="0" w:after="0" w:line="240" w:lineRule="auto"/>
      </w:pPr>
      <w:rPr>
        <w:b/>
        <w:bCs/>
      </w:rPr>
      <w:tblPr/>
      <w:tcPr>
        <w:tcBorders>
          <w:top w:val="single" w:sz="8" w:space="0" w:color="006666" w:themeColor="accent1"/>
          <w:left w:val="nil"/>
          <w:bottom w:val="single" w:sz="8" w:space="0" w:color="0066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FF" w:themeFill="accent1" w:themeFillTint="3F"/>
      </w:tcPr>
    </w:tblStylePr>
    <w:tblStylePr w:type="band1Horz">
      <w:tblPr/>
      <w:tcPr>
        <w:tcBorders>
          <w:left w:val="nil"/>
          <w:right w:val="nil"/>
          <w:insideH w:val="nil"/>
          <w:insideV w:val="nil"/>
        </w:tcBorders>
        <w:shd w:val="clear" w:color="auto" w:fill="9AFFFF" w:themeFill="accent1" w:themeFillTint="3F"/>
      </w:tcPr>
    </w:tblStylePr>
  </w:style>
  <w:style w:type="table" w:styleId="LightShading-Accent2">
    <w:name w:val="Light Shading Accent 2"/>
    <w:basedOn w:val="TableNormal"/>
    <w:uiPriority w:val="60"/>
    <w:rsid w:val="00282C0B"/>
    <w:pPr>
      <w:spacing w:after="0" w:line="240" w:lineRule="auto"/>
    </w:pPr>
    <w:rPr>
      <w:color w:val="004C4C" w:themeColor="accent2" w:themeShade="BF"/>
    </w:rPr>
    <w:tblPr>
      <w:tblStyleRowBandSize w:val="1"/>
      <w:tblStyleColBandSize w:val="1"/>
      <w:tblBorders>
        <w:top w:val="single" w:sz="8" w:space="0" w:color="006666" w:themeColor="accent2"/>
        <w:bottom w:val="single" w:sz="8" w:space="0" w:color="006666" w:themeColor="accent2"/>
      </w:tblBorders>
    </w:tblPr>
    <w:tblStylePr w:type="firstRow">
      <w:pPr>
        <w:spacing w:before="0" w:after="0" w:line="240" w:lineRule="auto"/>
      </w:pPr>
      <w:rPr>
        <w:b/>
        <w:bCs/>
      </w:rPr>
      <w:tblPr/>
      <w:tcPr>
        <w:tcBorders>
          <w:top w:val="single" w:sz="8" w:space="0" w:color="006666" w:themeColor="accent2"/>
          <w:left w:val="nil"/>
          <w:bottom w:val="single" w:sz="8" w:space="0" w:color="006666" w:themeColor="accent2"/>
          <w:right w:val="nil"/>
          <w:insideH w:val="nil"/>
          <w:insideV w:val="nil"/>
        </w:tcBorders>
      </w:tcPr>
    </w:tblStylePr>
    <w:tblStylePr w:type="lastRow">
      <w:pPr>
        <w:spacing w:before="0" w:after="0" w:line="240" w:lineRule="auto"/>
      </w:pPr>
      <w:rPr>
        <w:b/>
        <w:bCs/>
      </w:rPr>
      <w:tblPr/>
      <w:tcPr>
        <w:tcBorders>
          <w:top w:val="single" w:sz="8" w:space="0" w:color="006666" w:themeColor="accent2"/>
          <w:left w:val="nil"/>
          <w:bottom w:val="single" w:sz="8" w:space="0" w:color="00666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FF" w:themeFill="accent2" w:themeFillTint="3F"/>
      </w:tcPr>
    </w:tblStylePr>
    <w:tblStylePr w:type="band1Horz">
      <w:tblPr/>
      <w:tcPr>
        <w:tcBorders>
          <w:left w:val="nil"/>
          <w:right w:val="nil"/>
          <w:insideH w:val="nil"/>
          <w:insideV w:val="nil"/>
        </w:tcBorders>
        <w:shd w:val="clear" w:color="auto" w:fill="9AFFFF" w:themeFill="accent2" w:themeFillTint="3F"/>
      </w:tcPr>
    </w:tblStylePr>
  </w:style>
  <w:style w:type="paragraph" w:styleId="FootnoteText">
    <w:name w:val="footnote text"/>
    <w:basedOn w:val="Normal"/>
    <w:link w:val="FootnoteTextChar"/>
    <w:uiPriority w:val="99"/>
    <w:unhideWhenUsed/>
    <w:rsid w:val="00006FBA"/>
    <w:pPr>
      <w:spacing w:after="0" w:line="240" w:lineRule="auto"/>
    </w:pPr>
    <w:rPr>
      <w:sz w:val="20"/>
      <w:szCs w:val="20"/>
    </w:rPr>
  </w:style>
  <w:style w:type="character" w:customStyle="1" w:styleId="FootnoteTextChar">
    <w:name w:val="Footnote Text Char"/>
    <w:basedOn w:val="DefaultParagraphFont"/>
    <w:link w:val="FootnoteText"/>
    <w:uiPriority w:val="99"/>
    <w:rsid w:val="00006FBA"/>
    <w:rPr>
      <w:sz w:val="20"/>
      <w:szCs w:val="20"/>
    </w:rPr>
  </w:style>
  <w:style w:type="character" w:styleId="FootnoteReference">
    <w:name w:val="footnote reference"/>
    <w:basedOn w:val="DefaultParagraphFont"/>
    <w:uiPriority w:val="99"/>
    <w:semiHidden/>
    <w:unhideWhenUsed/>
    <w:rsid w:val="00006FBA"/>
    <w:rPr>
      <w:vertAlign w:val="superscript"/>
    </w:rPr>
  </w:style>
  <w:style w:type="paragraph" w:customStyle="1" w:styleId="Default">
    <w:name w:val="Default"/>
    <w:rsid w:val="00504C35"/>
    <w:pPr>
      <w:autoSpaceDE w:val="0"/>
      <w:autoSpaceDN w:val="0"/>
      <w:adjustRightInd w:val="0"/>
      <w:spacing w:after="0" w:line="240" w:lineRule="auto"/>
    </w:pPr>
    <w:rPr>
      <w:rFonts w:ascii="Times New Roman" w:hAnsi="Times New Roman" w:cs="Times New Roman"/>
      <w:color w:val="000000"/>
      <w:sz w:val="24"/>
      <w:szCs w:val="24"/>
    </w:rPr>
  </w:style>
  <w:style w:type="character" w:styleId="IntenseEmphasis">
    <w:name w:val="Intense Emphasis"/>
    <w:basedOn w:val="DefaultParagraphFont"/>
    <w:uiPriority w:val="21"/>
    <w:qFormat/>
    <w:rsid w:val="003F4309"/>
    <w:rPr>
      <w:b/>
      <w:bCs/>
      <w:i/>
      <w:iCs/>
      <w:color w:val="006666" w:themeColor="accent1"/>
    </w:rPr>
  </w:style>
  <w:style w:type="paragraph" w:styleId="Quote">
    <w:name w:val="Quote"/>
    <w:basedOn w:val="Normal"/>
    <w:next w:val="Normal"/>
    <w:link w:val="QuoteChar"/>
    <w:uiPriority w:val="29"/>
    <w:qFormat/>
    <w:rsid w:val="000B4529"/>
    <w:rPr>
      <w:i/>
      <w:iCs/>
      <w:color w:val="FF9900" w:themeColor="text1"/>
    </w:rPr>
  </w:style>
  <w:style w:type="character" w:customStyle="1" w:styleId="QuoteChar">
    <w:name w:val="Quote Char"/>
    <w:basedOn w:val="DefaultParagraphFont"/>
    <w:link w:val="Quote"/>
    <w:uiPriority w:val="29"/>
    <w:rsid w:val="000B4529"/>
    <w:rPr>
      <w:i/>
      <w:iCs/>
      <w:color w:val="FF9900" w:themeColor="text1"/>
    </w:rPr>
  </w:style>
  <w:style w:type="character" w:customStyle="1" w:styleId="baec5a81-e4d6-4674-97f3-e9220f0136c1">
    <w:name w:val="baec5a81-e4d6-4674-97f3-e9220f0136c1"/>
    <w:basedOn w:val="DefaultParagraphFont"/>
    <w:rsid w:val="00B77E34"/>
  </w:style>
  <w:style w:type="character" w:styleId="Strong">
    <w:name w:val="Strong"/>
    <w:basedOn w:val="DefaultParagraphFont"/>
    <w:uiPriority w:val="22"/>
    <w:qFormat/>
    <w:rsid w:val="00FB0244"/>
    <w:rPr>
      <w:b/>
      <w:bCs/>
    </w:rPr>
  </w:style>
  <w:style w:type="character" w:customStyle="1" w:styleId="apple-converted-space">
    <w:name w:val="apple-converted-space"/>
    <w:basedOn w:val="DefaultParagraphFont"/>
    <w:rsid w:val="008E4D5B"/>
  </w:style>
  <w:style w:type="character" w:styleId="PlaceholderText">
    <w:name w:val="Placeholder Text"/>
    <w:basedOn w:val="DefaultParagraphFont"/>
    <w:uiPriority w:val="99"/>
    <w:semiHidden/>
    <w:rsid w:val="002C2331"/>
    <w:rPr>
      <w:color w:val="808080"/>
    </w:rPr>
  </w:style>
  <w:style w:type="table" w:customStyle="1" w:styleId="LightShading1">
    <w:name w:val="Light Shading1"/>
    <w:basedOn w:val="TableNormal"/>
    <w:uiPriority w:val="60"/>
    <w:rsid w:val="006578D0"/>
    <w:pPr>
      <w:spacing w:after="0" w:line="240" w:lineRule="auto"/>
    </w:pPr>
    <w:rPr>
      <w:color w:val="BF7200" w:themeColor="text1" w:themeShade="BF"/>
    </w:rPr>
    <w:tblPr>
      <w:tblStyleRowBandSize w:val="1"/>
      <w:tblStyleColBandSize w:val="1"/>
      <w:tblBorders>
        <w:top w:val="single" w:sz="8" w:space="0" w:color="FF9900" w:themeColor="text1"/>
        <w:bottom w:val="single" w:sz="8" w:space="0" w:color="FF9900" w:themeColor="text1"/>
      </w:tblBorders>
    </w:tblPr>
    <w:tblStylePr w:type="firstRow">
      <w:pPr>
        <w:spacing w:before="0" w:after="0" w:line="240" w:lineRule="auto"/>
      </w:pPr>
      <w:rPr>
        <w:b/>
        <w:bCs/>
      </w:rPr>
      <w:tblPr/>
      <w:tcPr>
        <w:tcBorders>
          <w:top w:val="single" w:sz="8" w:space="0" w:color="FF9900" w:themeColor="text1"/>
          <w:left w:val="nil"/>
          <w:bottom w:val="single" w:sz="8" w:space="0" w:color="FF9900" w:themeColor="text1"/>
          <w:right w:val="nil"/>
          <w:insideH w:val="nil"/>
          <w:insideV w:val="nil"/>
        </w:tcBorders>
      </w:tcPr>
    </w:tblStylePr>
    <w:tblStylePr w:type="lastRow">
      <w:pPr>
        <w:spacing w:before="0" w:after="0" w:line="240" w:lineRule="auto"/>
      </w:pPr>
      <w:rPr>
        <w:b/>
        <w:bCs/>
      </w:rPr>
      <w:tblPr/>
      <w:tcPr>
        <w:tcBorders>
          <w:top w:val="single" w:sz="8" w:space="0" w:color="FF9900" w:themeColor="text1"/>
          <w:left w:val="nil"/>
          <w:bottom w:val="single" w:sz="8" w:space="0" w:color="FF99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5C0" w:themeFill="text1" w:themeFillTint="3F"/>
      </w:tcPr>
    </w:tblStylePr>
    <w:tblStylePr w:type="band1Horz">
      <w:tblPr/>
      <w:tcPr>
        <w:tcBorders>
          <w:left w:val="nil"/>
          <w:right w:val="nil"/>
          <w:insideH w:val="nil"/>
          <w:insideV w:val="nil"/>
        </w:tcBorders>
        <w:shd w:val="clear" w:color="auto" w:fill="FFE5C0" w:themeFill="text1" w:themeFillTint="3F"/>
      </w:tcPr>
    </w:tblStylePr>
  </w:style>
  <w:style w:type="character" w:styleId="UnresolvedMention">
    <w:name w:val="Unresolved Mention"/>
    <w:basedOn w:val="DefaultParagraphFont"/>
    <w:uiPriority w:val="99"/>
    <w:semiHidden/>
    <w:unhideWhenUsed/>
    <w:rsid w:val="00176D4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2401">
      <w:bodyDiv w:val="1"/>
      <w:marLeft w:val="0"/>
      <w:marRight w:val="0"/>
      <w:marTop w:val="0"/>
      <w:marBottom w:val="0"/>
      <w:divBdr>
        <w:top w:val="none" w:sz="0" w:space="0" w:color="auto"/>
        <w:left w:val="none" w:sz="0" w:space="0" w:color="auto"/>
        <w:bottom w:val="none" w:sz="0" w:space="0" w:color="auto"/>
        <w:right w:val="none" w:sz="0" w:space="0" w:color="auto"/>
      </w:divBdr>
    </w:div>
    <w:div w:id="60714558">
      <w:bodyDiv w:val="1"/>
      <w:marLeft w:val="0"/>
      <w:marRight w:val="0"/>
      <w:marTop w:val="0"/>
      <w:marBottom w:val="0"/>
      <w:divBdr>
        <w:top w:val="none" w:sz="0" w:space="0" w:color="auto"/>
        <w:left w:val="none" w:sz="0" w:space="0" w:color="auto"/>
        <w:bottom w:val="none" w:sz="0" w:space="0" w:color="auto"/>
        <w:right w:val="none" w:sz="0" w:space="0" w:color="auto"/>
      </w:divBdr>
      <w:divsChild>
        <w:div w:id="829489903">
          <w:marLeft w:val="1800"/>
          <w:marRight w:val="0"/>
          <w:marTop w:val="106"/>
          <w:marBottom w:val="0"/>
          <w:divBdr>
            <w:top w:val="none" w:sz="0" w:space="0" w:color="auto"/>
            <w:left w:val="none" w:sz="0" w:space="0" w:color="auto"/>
            <w:bottom w:val="none" w:sz="0" w:space="0" w:color="auto"/>
            <w:right w:val="none" w:sz="0" w:space="0" w:color="auto"/>
          </w:divBdr>
        </w:div>
      </w:divsChild>
    </w:div>
    <w:div w:id="87584398">
      <w:bodyDiv w:val="1"/>
      <w:marLeft w:val="0"/>
      <w:marRight w:val="0"/>
      <w:marTop w:val="0"/>
      <w:marBottom w:val="0"/>
      <w:divBdr>
        <w:top w:val="none" w:sz="0" w:space="0" w:color="auto"/>
        <w:left w:val="none" w:sz="0" w:space="0" w:color="auto"/>
        <w:bottom w:val="none" w:sz="0" w:space="0" w:color="auto"/>
        <w:right w:val="none" w:sz="0" w:space="0" w:color="auto"/>
      </w:divBdr>
    </w:div>
    <w:div w:id="197159408">
      <w:bodyDiv w:val="1"/>
      <w:marLeft w:val="0"/>
      <w:marRight w:val="0"/>
      <w:marTop w:val="0"/>
      <w:marBottom w:val="0"/>
      <w:divBdr>
        <w:top w:val="none" w:sz="0" w:space="0" w:color="auto"/>
        <w:left w:val="none" w:sz="0" w:space="0" w:color="auto"/>
        <w:bottom w:val="none" w:sz="0" w:space="0" w:color="auto"/>
        <w:right w:val="none" w:sz="0" w:space="0" w:color="auto"/>
      </w:divBdr>
    </w:div>
    <w:div w:id="260650841">
      <w:bodyDiv w:val="1"/>
      <w:marLeft w:val="0"/>
      <w:marRight w:val="0"/>
      <w:marTop w:val="0"/>
      <w:marBottom w:val="0"/>
      <w:divBdr>
        <w:top w:val="none" w:sz="0" w:space="0" w:color="auto"/>
        <w:left w:val="none" w:sz="0" w:space="0" w:color="auto"/>
        <w:bottom w:val="none" w:sz="0" w:space="0" w:color="auto"/>
        <w:right w:val="none" w:sz="0" w:space="0" w:color="auto"/>
      </w:divBdr>
    </w:div>
    <w:div w:id="340161935">
      <w:bodyDiv w:val="1"/>
      <w:marLeft w:val="0"/>
      <w:marRight w:val="0"/>
      <w:marTop w:val="0"/>
      <w:marBottom w:val="0"/>
      <w:divBdr>
        <w:top w:val="none" w:sz="0" w:space="0" w:color="auto"/>
        <w:left w:val="none" w:sz="0" w:space="0" w:color="auto"/>
        <w:bottom w:val="none" w:sz="0" w:space="0" w:color="auto"/>
        <w:right w:val="none" w:sz="0" w:space="0" w:color="auto"/>
      </w:divBdr>
      <w:divsChild>
        <w:div w:id="479005580">
          <w:marLeft w:val="0"/>
          <w:marRight w:val="0"/>
          <w:marTop w:val="0"/>
          <w:marBottom w:val="0"/>
          <w:divBdr>
            <w:top w:val="none" w:sz="0" w:space="0" w:color="auto"/>
            <w:left w:val="none" w:sz="0" w:space="0" w:color="auto"/>
            <w:bottom w:val="none" w:sz="0" w:space="0" w:color="auto"/>
            <w:right w:val="none" w:sz="0" w:space="0" w:color="auto"/>
          </w:divBdr>
          <w:divsChild>
            <w:div w:id="1351369206">
              <w:marLeft w:val="0"/>
              <w:marRight w:val="0"/>
              <w:marTop w:val="0"/>
              <w:marBottom w:val="0"/>
              <w:divBdr>
                <w:top w:val="none" w:sz="0" w:space="0" w:color="auto"/>
                <w:left w:val="none" w:sz="0" w:space="0" w:color="auto"/>
                <w:bottom w:val="none" w:sz="0" w:space="0" w:color="auto"/>
                <w:right w:val="none" w:sz="0" w:space="0" w:color="auto"/>
              </w:divBdr>
              <w:divsChild>
                <w:div w:id="1225214119">
                  <w:marLeft w:val="0"/>
                  <w:marRight w:val="0"/>
                  <w:marTop w:val="0"/>
                  <w:marBottom w:val="0"/>
                  <w:divBdr>
                    <w:top w:val="none" w:sz="0" w:space="0" w:color="auto"/>
                    <w:left w:val="none" w:sz="0" w:space="0" w:color="auto"/>
                    <w:bottom w:val="none" w:sz="0" w:space="0" w:color="auto"/>
                    <w:right w:val="none" w:sz="0" w:space="0" w:color="auto"/>
                  </w:divBdr>
                  <w:divsChild>
                    <w:div w:id="98378346">
                      <w:marLeft w:val="0"/>
                      <w:marRight w:val="0"/>
                      <w:marTop w:val="0"/>
                      <w:marBottom w:val="0"/>
                      <w:divBdr>
                        <w:top w:val="none" w:sz="0" w:space="0" w:color="auto"/>
                        <w:left w:val="none" w:sz="0" w:space="0" w:color="auto"/>
                        <w:bottom w:val="none" w:sz="0" w:space="0" w:color="auto"/>
                        <w:right w:val="none" w:sz="0" w:space="0" w:color="auto"/>
                      </w:divBdr>
                      <w:divsChild>
                        <w:div w:id="551502279">
                          <w:marLeft w:val="0"/>
                          <w:marRight w:val="0"/>
                          <w:marTop w:val="0"/>
                          <w:marBottom w:val="0"/>
                          <w:divBdr>
                            <w:top w:val="none" w:sz="0" w:space="0" w:color="auto"/>
                            <w:left w:val="none" w:sz="0" w:space="0" w:color="auto"/>
                            <w:bottom w:val="none" w:sz="0" w:space="0" w:color="auto"/>
                            <w:right w:val="none" w:sz="0" w:space="0" w:color="auto"/>
                          </w:divBdr>
                          <w:divsChild>
                            <w:div w:id="186675475">
                              <w:marLeft w:val="0"/>
                              <w:marRight w:val="0"/>
                              <w:marTop w:val="0"/>
                              <w:marBottom w:val="0"/>
                              <w:divBdr>
                                <w:top w:val="none" w:sz="0" w:space="0" w:color="auto"/>
                                <w:left w:val="none" w:sz="0" w:space="0" w:color="auto"/>
                                <w:bottom w:val="none" w:sz="0" w:space="0" w:color="auto"/>
                                <w:right w:val="none" w:sz="0" w:space="0" w:color="auto"/>
                              </w:divBdr>
                              <w:divsChild>
                                <w:div w:id="308479337">
                                  <w:marLeft w:val="0"/>
                                  <w:marRight w:val="0"/>
                                  <w:marTop w:val="0"/>
                                  <w:marBottom w:val="0"/>
                                  <w:divBdr>
                                    <w:top w:val="none" w:sz="0" w:space="0" w:color="auto"/>
                                    <w:left w:val="none" w:sz="0" w:space="0" w:color="auto"/>
                                    <w:bottom w:val="none" w:sz="0" w:space="0" w:color="auto"/>
                                    <w:right w:val="none" w:sz="0" w:space="0" w:color="auto"/>
                                  </w:divBdr>
                                  <w:divsChild>
                                    <w:div w:id="1086269376">
                                      <w:marLeft w:val="0"/>
                                      <w:marRight w:val="0"/>
                                      <w:marTop w:val="0"/>
                                      <w:marBottom w:val="0"/>
                                      <w:divBdr>
                                        <w:top w:val="none" w:sz="0" w:space="0" w:color="auto"/>
                                        <w:left w:val="none" w:sz="0" w:space="0" w:color="auto"/>
                                        <w:bottom w:val="none" w:sz="0" w:space="0" w:color="auto"/>
                                        <w:right w:val="none" w:sz="0" w:space="0" w:color="auto"/>
                                      </w:divBdr>
                                      <w:divsChild>
                                        <w:div w:id="9165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5670276">
      <w:bodyDiv w:val="1"/>
      <w:marLeft w:val="0"/>
      <w:marRight w:val="0"/>
      <w:marTop w:val="0"/>
      <w:marBottom w:val="0"/>
      <w:divBdr>
        <w:top w:val="none" w:sz="0" w:space="0" w:color="auto"/>
        <w:left w:val="none" w:sz="0" w:space="0" w:color="auto"/>
        <w:bottom w:val="none" w:sz="0" w:space="0" w:color="auto"/>
        <w:right w:val="none" w:sz="0" w:space="0" w:color="auto"/>
      </w:divBdr>
    </w:div>
    <w:div w:id="626663966">
      <w:bodyDiv w:val="1"/>
      <w:marLeft w:val="0"/>
      <w:marRight w:val="0"/>
      <w:marTop w:val="0"/>
      <w:marBottom w:val="0"/>
      <w:divBdr>
        <w:top w:val="none" w:sz="0" w:space="0" w:color="auto"/>
        <w:left w:val="none" w:sz="0" w:space="0" w:color="auto"/>
        <w:bottom w:val="none" w:sz="0" w:space="0" w:color="auto"/>
        <w:right w:val="none" w:sz="0" w:space="0" w:color="auto"/>
      </w:divBdr>
    </w:div>
    <w:div w:id="848837845">
      <w:bodyDiv w:val="1"/>
      <w:marLeft w:val="0"/>
      <w:marRight w:val="0"/>
      <w:marTop w:val="0"/>
      <w:marBottom w:val="0"/>
      <w:divBdr>
        <w:top w:val="none" w:sz="0" w:space="0" w:color="auto"/>
        <w:left w:val="none" w:sz="0" w:space="0" w:color="auto"/>
        <w:bottom w:val="none" w:sz="0" w:space="0" w:color="auto"/>
        <w:right w:val="none" w:sz="0" w:space="0" w:color="auto"/>
      </w:divBdr>
    </w:div>
    <w:div w:id="1014190558">
      <w:bodyDiv w:val="1"/>
      <w:marLeft w:val="0"/>
      <w:marRight w:val="0"/>
      <w:marTop w:val="0"/>
      <w:marBottom w:val="0"/>
      <w:divBdr>
        <w:top w:val="none" w:sz="0" w:space="0" w:color="auto"/>
        <w:left w:val="none" w:sz="0" w:space="0" w:color="auto"/>
        <w:bottom w:val="none" w:sz="0" w:space="0" w:color="auto"/>
        <w:right w:val="none" w:sz="0" w:space="0" w:color="auto"/>
      </w:divBdr>
      <w:divsChild>
        <w:div w:id="14425405">
          <w:marLeft w:val="1800"/>
          <w:marRight w:val="0"/>
          <w:marTop w:val="106"/>
          <w:marBottom w:val="0"/>
          <w:divBdr>
            <w:top w:val="none" w:sz="0" w:space="0" w:color="auto"/>
            <w:left w:val="none" w:sz="0" w:space="0" w:color="auto"/>
            <w:bottom w:val="none" w:sz="0" w:space="0" w:color="auto"/>
            <w:right w:val="none" w:sz="0" w:space="0" w:color="auto"/>
          </w:divBdr>
        </w:div>
      </w:divsChild>
    </w:div>
    <w:div w:id="1048263405">
      <w:bodyDiv w:val="1"/>
      <w:marLeft w:val="0"/>
      <w:marRight w:val="0"/>
      <w:marTop w:val="0"/>
      <w:marBottom w:val="0"/>
      <w:divBdr>
        <w:top w:val="none" w:sz="0" w:space="0" w:color="auto"/>
        <w:left w:val="none" w:sz="0" w:space="0" w:color="auto"/>
        <w:bottom w:val="none" w:sz="0" w:space="0" w:color="auto"/>
        <w:right w:val="none" w:sz="0" w:space="0" w:color="auto"/>
      </w:divBdr>
    </w:div>
    <w:div w:id="1048993354">
      <w:bodyDiv w:val="1"/>
      <w:marLeft w:val="0"/>
      <w:marRight w:val="0"/>
      <w:marTop w:val="0"/>
      <w:marBottom w:val="0"/>
      <w:divBdr>
        <w:top w:val="none" w:sz="0" w:space="0" w:color="auto"/>
        <w:left w:val="none" w:sz="0" w:space="0" w:color="auto"/>
        <w:bottom w:val="none" w:sz="0" w:space="0" w:color="auto"/>
        <w:right w:val="none" w:sz="0" w:space="0" w:color="auto"/>
      </w:divBdr>
      <w:divsChild>
        <w:div w:id="1208370763">
          <w:marLeft w:val="547"/>
          <w:marRight w:val="0"/>
          <w:marTop w:val="120"/>
          <w:marBottom w:val="0"/>
          <w:divBdr>
            <w:top w:val="none" w:sz="0" w:space="0" w:color="auto"/>
            <w:left w:val="none" w:sz="0" w:space="0" w:color="auto"/>
            <w:bottom w:val="none" w:sz="0" w:space="0" w:color="auto"/>
            <w:right w:val="none" w:sz="0" w:space="0" w:color="auto"/>
          </w:divBdr>
        </w:div>
      </w:divsChild>
    </w:div>
    <w:div w:id="1159928957">
      <w:bodyDiv w:val="1"/>
      <w:marLeft w:val="0"/>
      <w:marRight w:val="0"/>
      <w:marTop w:val="0"/>
      <w:marBottom w:val="0"/>
      <w:divBdr>
        <w:top w:val="none" w:sz="0" w:space="0" w:color="auto"/>
        <w:left w:val="none" w:sz="0" w:space="0" w:color="auto"/>
        <w:bottom w:val="none" w:sz="0" w:space="0" w:color="auto"/>
        <w:right w:val="none" w:sz="0" w:space="0" w:color="auto"/>
      </w:divBdr>
      <w:divsChild>
        <w:div w:id="1574394921">
          <w:marLeft w:val="446"/>
          <w:marRight w:val="0"/>
          <w:marTop w:val="0"/>
          <w:marBottom w:val="0"/>
          <w:divBdr>
            <w:top w:val="none" w:sz="0" w:space="0" w:color="auto"/>
            <w:left w:val="none" w:sz="0" w:space="0" w:color="auto"/>
            <w:bottom w:val="none" w:sz="0" w:space="0" w:color="auto"/>
            <w:right w:val="none" w:sz="0" w:space="0" w:color="auto"/>
          </w:divBdr>
        </w:div>
      </w:divsChild>
    </w:div>
    <w:div w:id="1180466548">
      <w:bodyDiv w:val="1"/>
      <w:marLeft w:val="0"/>
      <w:marRight w:val="0"/>
      <w:marTop w:val="0"/>
      <w:marBottom w:val="0"/>
      <w:divBdr>
        <w:top w:val="none" w:sz="0" w:space="0" w:color="auto"/>
        <w:left w:val="none" w:sz="0" w:space="0" w:color="auto"/>
        <w:bottom w:val="none" w:sz="0" w:space="0" w:color="auto"/>
        <w:right w:val="none" w:sz="0" w:space="0" w:color="auto"/>
      </w:divBdr>
      <w:divsChild>
        <w:div w:id="652953717">
          <w:marLeft w:val="1800"/>
          <w:marRight w:val="0"/>
          <w:marTop w:val="106"/>
          <w:marBottom w:val="0"/>
          <w:divBdr>
            <w:top w:val="none" w:sz="0" w:space="0" w:color="auto"/>
            <w:left w:val="none" w:sz="0" w:space="0" w:color="auto"/>
            <w:bottom w:val="none" w:sz="0" w:space="0" w:color="auto"/>
            <w:right w:val="none" w:sz="0" w:space="0" w:color="auto"/>
          </w:divBdr>
        </w:div>
      </w:divsChild>
    </w:div>
    <w:div w:id="1397781678">
      <w:bodyDiv w:val="1"/>
      <w:marLeft w:val="0"/>
      <w:marRight w:val="0"/>
      <w:marTop w:val="0"/>
      <w:marBottom w:val="0"/>
      <w:divBdr>
        <w:top w:val="none" w:sz="0" w:space="0" w:color="auto"/>
        <w:left w:val="none" w:sz="0" w:space="0" w:color="auto"/>
        <w:bottom w:val="none" w:sz="0" w:space="0" w:color="auto"/>
        <w:right w:val="none" w:sz="0" w:space="0" w:color="auto"/>
      </w:divBdr>
    </w:div>
    <w:div w:id="1566989678">
      <w:bodyDiv w:val="1"/>
      <w:marLeft w:val="0"/>
      <w:marRight w:val="0"/>
      <w:marTop w:val="0"/>
      <w:marBottom w:val="0"/>
      <w:divBdr>
        <w:top w:val="none" w:sz="0" w:space="0" w:color="auto"/>
        <w:left w:val="none" w:sz="0" w:space="0" w:color="auto"/>
        <w:bottom w:val="none" w:sz="0" w:space="0" w:color="auto"/>
        <w:right w:val="none" w:sz="0" w:space="0" w:color="auto"/>
      </w:divBdr>
      <w:divsChild>
        <w:div w:id="1741364582">
          <w:marLeft w:val="0"/>
          <w:marRight w:val="0"/>
          <w:marTop w:val="0"/>
          <w:marBottom w:val="0"/>
          <w:divBdr>
            <w:top w:val="none" w:sz="0" w:space="0" w:color="auto"/>
            <w:left w:val="none" w:sz="0" w:space="0" w:color="auto"/>
            <w:bottom w:val="none" w:sz="0" w:space="0" w:color="auto"/>
            <w:right w:val="none" w:sz="0" w:space="0" w:color="auto"/>
          </w:divBdr>
          <w:divsChild>
            <w:div w:id="1070350483">
              <w:marLeft w:val="0"/>
              <w:marRight w:val="0"/>
              <w:marTop w:val="0"/>
              <w:marBottom w:val="0"/>
              <w:divBdr>
                <w:top w:val="none" w:sz="0" w:space="0" w:color="auto"/>
                <w:left w:val="none" w:sz="0" w:space="0" w:color="auto"/>
                <w:bottom w:val="none" w:sz="0" w:space="0" w:color="auto"/>
                <w:right w:val="none" w:sz="0" w:space="0" w:color="auto"/>
              </w:divBdr>
              <w:divsChild>
                <w:div w:id="1065760837">
                  <w:marLeft w:val="0"/>
                  <w:marRight w:val="0"/>
                  <w:marTop w:val="0"/>
                  <w:marBottom w:val="0"/>
                  <w:divBdr>
                    <w:top w:val="none" w:sz="0" w:space="0" w:color="auto"/>
                    <w:left w:val="none" w:sz="0" w:space="0" w:color="auto"/>
                    <w:bottom w:val="none" w:sz="0" w:space="0" w:color="auto"/>
                    <w:right w:val="none" w:sz="0" w:space="0" w:color="auto"/>
                  </w:divBdr>
                  <w:divsChild>
                    <w:div w:id="388311888">
                      <w:marLeft w:val="0"/>
                      <w:marRight w:val="0"/>
                      <w:marTop w:val="0"/>
                      <w:marBottom w:val="0"/>
                      <w:divBdr>
                        <w:top w:val="none" w:sz="0" w:space="0" w:color="auto"/>
                        <w:left w:val="none" w:sz="0" w:space="0" w:color="auto"/>
                        <w:bottom w:val="none" w:sz="0" w:space="0" w:color="auto"/>
                        <w:right w:val="none" w:sz="0" w:space="0" w:color="auto"/>
                      </w:divBdr>
                      <w:divsChild>
                        <w:div w:id="1769933655">
                          <w:marLeft w:val="0"/>
                          <w:marRight w:val="0"/>
                          <w:marTop w:val="0"/>
                          <w:marBottom w:val="0"/>
                          <w:divBdr>
                            <w:top w:val="none" w:sz="0" w:space="0" w:color="auto"/>
                            <w:left w:val="none" w:sz="0" w:space="0" w:color="auto"/>
                            <w:bottom w:val="none" w:sz="0" w:space="0" w:color="auto"/>
                            <w:right w:val="none" w:sz="0" w:space="0" w:color="auto"/>
                          </w:divBdr>
                          <w:divsChild>
                            <w:div w:id="615066726">
                              <w:marLeft w:val="0"/>
                              <w:marRight w:val="0"/>
                              <w:marTop w:val="0"/>
                              <w:marBottom w:val="0"/>
                              <w:divBdr>
                                <w:top w:val="none" w:sz="0" w:space="0" w:color="auto"/>
                                <w:left w:val="none" w:sz="0" w:space="0" w:color="auto"/>
                                <w:bottom w:val="none" w:sz="0" w:space="0" w:color="auto"/>
                                <w:right w:val="none" w:sz="0" w:space="0" w:color="auto"/>
                              </w:divBdr>
                              <w:divsChild>
                                <w:div w:id="883370121">
                                  <w:marLeft w:val="0"/>
                                  <w:marRight w:val="0"/>
                                  <w:marTop w:val="0"/>
                                  <w:marBottom w:val="0"/>
                                  <w:divBdr>
                                    <w:top w:val="none" w:sz="0" w:space="0" w:color="auto"/>
                                    <w:left w:val="none" w:sz="0" w:space="0" w:color="auto"/>
                                    <w:bottom w:val="none" w:sz="0" w:space="0" w:color="auto"/>
                                    <w:right w:val="none" w:sz="0" w:space="0" w:color="auto"/>
                                  </w:divBdr>
                                  <w:divsChild>
                                    <w:div w:id="1122771832">
                                      <w:marLeft w:val="0"/>
                                      <w:marRight w:val="0"/>
                                      <w:marTop w:val="0"/>
                                      <w:marBottom w:val="0"/>
                                      <w:divBdr>
                                        <w:top w:val="none" w:sz="0" w:space="0" w:color="auto"/>
                                        <w:left w:val="none" w:sz="0" w:space="0" w:color="auto"/>
                                        <w:bottom w:val="none" w:sz="0" w:space="0" w:color="auto"/>
                                        <w:right w:val="none" w:sz="0" w:space="0" w:color="auto"/>
                                      </w:divBdr>
                                      <w:divsChild>
                                        <w:div w:id="45583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9894740">
      <w:bodyDiv w:val="1"/>
      <w:marLeft w:val="0"/>
      <w:marRight w:val="0"/>
      <w:marTop w:val="0"/>
      <w:marBottom w:val="0"/>
      <w:divBdr>
        <w:top w:val="none" w:sz="0" w:space="0" w:color="auto"/>
        <w:left w:val="none" w:sz="0" w:space="0" w:color="auto"/>
        <w:bottom w:val="none" w:sz="0" w:space="0" w:color="auto"/>
        <w:right w:val="none" w:sz="0" w:space="0" w:color="auto"/>
      </w:divBdr>
      <w:divsChild>
        <w:div w:id="1273779462">
          <w:marLeft w:val="0"/>
          <w:marRight w:val="0"/>
          <w:marTop w:val="0"/>
          <w:marBottom w:val="0"/>
          <w:divBdr>
            <w:top w:val="none" w:sz="0" w:space="0" w:color="auto"/>
            <w:left w:val="none" w:sz="0" w:space="0" w:color="auto"/>
            <w:bottom w:val="none" w:sz="0" w:space="0" w:color="auto"/>
            <w:right w:val="none" w:sz="0" w:space="0" w:color="auto"/>
          </w:divBdr>
          <w:divsChild>
            <w:div w:id="1190684888">
              <w:marLeft w:val="0"/>
              <w:marRight w:val="0"/>
              <w:marTop w:val="0"/>
              <w:marBottom w:val="0"/>
              <w:divBdr>
                <w:top w:val="none" w:sz="0" w:space="0" w:color="auto"/>
                <w:left w:val="none" w:sz="0" w:space="0" w:color="auto"/>
                <w:bottom w:val="none" w:sz="0" w:space="0" w:color="auto"/>
                <w:right w:val="none" w:sz="0" w:space="0" w:color="auto"/>
              </w:divBdr>
              <w:divsChild>
                <w:div w:id="439299761">
                  <w:marLeft w:val="0"/>
                  <w:marRight w:val="0"/>
                  <w:marTop w:val="0"/>
                  <w:marBottom w:val="0"/>
                  <w:divBdr>
                    <w:top w:val="none" w:sz="0" w:space="0" w:color="auto"/>
                    <w:left w:val="none" w:sz="0" w:space="0" w:color="auto"/>
                    <w:bottom w:val="none" w:sz="0" w:space="0" w:color="auto"/>
                    <w:right w:val="none" w:sz="0" w:space="0" w:color="auto"/>
                  </w:divBdr>
                  <w:divsChild>
                    <w:div w:id="18239681">
                      <w:marLeft w:val="0"/>
                      <w:marRight w:val="0"/>
                      <w:marTop w:val="0"/>
                      <w:marBottom w:val="0"/>
                      <w:divBdr>
                        <w:top w:val="none" w:sz="0" w:space="0" w:color="auto"/>
                        <w:left w:val="none" w:sz="0" w:space="0" w:color="auto"/>
                        <w:bottom w:val="none" w:sz="0" w:space="0" w:color="auto"/>
                        <w:right w:val="none" w:sz="0" w:space="0" w:color="auto"/>
                      </w:divBdr>
                      <w:divsChild>
                        <w:div w:id="37976633">
                          <w:marLeft w:val="0"/>
                          <w:marRight w:val="0"/>
                          <w:marTop w:val="0"/>
                          <w:marBottom w:val="0"/>
                          <w:divBdr>
                            <w:top w:val="none" w:sz="0" w:space="0" w:color="auto"/>
                            <w:left w:val="none" w:sz="0" w:space="0" w:color="auto"/>
                            <w:bottom w:val="none" w:sz="0" w:space="0" w:color="auto"/>
                            <w:right w:val="none" w:sz="0" w:space="0" w:color="auto"/>
                          </w:divBdr>
                          <w:divsChild>
                            <w:div w:id="32731731">
                              <w:marLeft w:val="0"/>
                              <w:marRight w:val="0"/>
                              <w:marTop w:val="0"/>
                              <w:marBottom w:val="0"/>
                              <w:divBdr>
                                <w:top w:val="none" w:sz="0" w:space="0" w:color="auto"/>
                                <w:left w:val="none" w:sz="0" w:space="0" w:color="auto"/>
                                <w:bottom w:val="none" w:sz="0" w:space="0" w:color="auto"/>
                                <w:right w:val="none" w:sz="0" w:space="0" w:color="auto"/>
                              </w:divBdr>
                              <w:divsChild>
                                <w:div w:id="1513299083">
                                  <w:marLeft w:val="0"/>
                                  <w:marRight w:val="0"/>
                                  <w:marTop w:val="0"/>
                                  <w:marBottom w:val="0"/>
                                  <w:divBdr>
                                    <w:top w:val="none" w:sz="0" w:space="0" w:color="auto"/>
                                    <w:left w:val="none" w:sz="0" w:space="0" w:color="auto"/>
                                    <w:bottom w:val="none" w:sz="0" w:space="0" w:color="auto"/>
                                    <w:right w:val="none" w:sz="0" w:space="0" w:color="auto"/>
                                  </w:divBdr>
                                  <w:divsChild>
                                    <w:div w:id="1547836777">
                                      <w:marLeft w:val="0"/>
                                      <w:marRight w:val="0"/>
                                      <w:marTop w:val="0"/>
                                      <w:marBottom w:val="0"/>
                                      <w:divBdr>
                                        <w:top w:val="none" w:sz="0" w:space="0" w:color="auto"/>
                                        <w:left w:val="none" w:sz="0" w:space="0" w:color="auto"/>
                                        <w:bottom w:val="none" w:sz="0" w:space="0" w:color="auto"/>
                                        <w:right w:val="none" w:sz="0" w:space="0" w:color="auto"/>
                                      </w:divBdr>
                                      <w:divsChild>
                                        <w:div w:id="5400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181253">
      <w:bodyDiv w:val="1"/>
      <w:marLeft w:val="0"/>
      <w:marRight w:val="0"/>
      <w:marTop w:val="0"/>
      <w:marBottom w:val="0"/>
      <w:divBdr>
        <w:top w:val="none" w:sz="0" w:space="0" w:color="auto"/>
        <w:left w:val="none" w:sz="0" w:space="0" w:color="auto"/>
        <w:bottom w:val="none" w:sz="0" w:space="0" w:color="auto"/>
        <w:right w:val="none" w:sz="0" w:space="0" w:color="auto"/>
      </w:divBdr>
    </w:div>
    <w:div w:id="1674260018">
      <w:bodyDiv w:val="1"/>
      <w:marLeft w:val="0"/>
      <w:marRight w:val="0"/>
      <w:marTop w:val="0"/>
      <w:marBottom w:val="0"/>
      <w:divBdr>
        <w:top w:val="none" w:sz="0" w:space="0" w:color="auto"/>
        <w:left w:val="none" w:sz="0" w:space="0" w:color="auto"/>
        <w:bottom w:val="none" w:sz="0" w:space="0" w:color="auto"/>
        <w:right w:val="none" w:sz="0" w:space="0" w:color="auto"/>
      </w:divBdr>
    </w:div>
    <w:div w:id="1676035484">
      <w:bodyDiv w:val="1"/>
      <w:marLeft w:val="0"/>
      <w:marRight w:val="0"/>
      <w:marTop w:val="0"/>
      <w:marBottom w:val="0"/>
      <w:divBdr>
        <w:top w:val="none" w:sz="0" w:space="0" w:color="auto"/>
        <w:left w:val="none" w:sz="0" w:space="0" w:color="auto"/>
        <w:bottom w:val="none" w:sz="0" w:space="0" w:color="auto"/>
        <w:right w:val="none" w:sz="0" w:space="0" w:color="auto"/>
      </w:divBdr>
    </w:div>
    <w:div w:id="1876696352">
      <w:bodyDiv w:val="1"/>
      <w:marLeft w:val="0"/>
      <w:marRight w:val="0"/>
      <w:marTop w:val="0"/>
      <w:marBottom w:val="0"/>
      <w:divBdr>
        <w:top w:val="none" w:sz="0" w:space="0" w:color="auto"/>
        <w:left w:val="none" w:sz="0" w:space="0" w:color="auto"/>
        <w:bottom w:val="none" w:sz="0" w:space="0" w:color="auto"/>
        <w:right w:val="none" w:sz="0" w:space="0" w:color="auto"/>
      </w:divBdr>
    </w:div>
    <w:div w:id="1880194668">
      <w:bodyDiv w:val="1"/>
      <w:marLeft w:val="0"/>
      <w:marRight w:val="0"/>
      <w:marTop w:val="0"/>
      <w:marBottom w:val="0"/>
      <w:divBdr>
        <w:top w:val="none" w:sz="0" w:space="0" w:color="auto"/>
        <w:left w:val="none" w:sz="0" w:space="0" w:color="auto"/>
        <w:bottom w:val="none" w:sz="0" w:space="0" w:color="auto"/>
        <w:right w:val="none" w:sz="0" w:space="0" w:color="auto"/>
      </w:divBdr>
    </w:div>
    <w:div w:id="213340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uldercolorado.gov/media/17938/download?inline" TargetMode="External"/><Relationship Id="rId18" Type="http://schemas.openxmlformats.org/officeDocument/2006/relationships/hyperlink" Target="https://bouldercolorado.gov/services/building-performance-ordinance" TargetMode="External"/><Relationship Id="rId26" Type="http://schemas.openxmlformats.org/officeDocument/2006/relationships/hyperlink" Target="https://bouldercolorado.gov/media/4463/download?inline" TargetMode="External"/><Relationship Id="rId39" Type="http://schemas.openxmlformats.org/officeDocument/2006/relationships/hyperlink" Target="https://bouldercolorado.gov/sites/default/files/2020-12/qualifiedlistforposting-1-202008241057-1.xlsx" TargetMode="External"/><Relationship Id="rId21" Type="http://schemas.openxmlformats.org/officeDocument/2006/relationships/hyperlink" Target="https://bouldercolorado.gov/media/4467/download?inline" TargetMode="External"/><Relationship Id="rId34" Type="http://schemas.openxmlformats.org/officeDocument/2006/relationships/hyperlink" Target="https://bouldercolorado.gov/services/solar-grants" TargetMode="External"/><Relationship Id="rId42" Type="http://schemas.openxmlformats.org/officeDocument/2006/relationships/hyperlink" Target="https://bouldercolorado.gov/sites/default/files/2020-12/qualifiedlistforposting-1-202008241057-1.xlsx" TargetMode="External"/><Relationship Id="rId47" Type="http://schemas.openxmlformats.org/officeDocument/2006/relationships/hyperlink" Target="https://bouldercolorado.gov/sites/default/files/2020-12/cmrulescieefinalafterposting-1-201812180901.pdf" TargetMode="External"/><Relationship Id="rId50" Type="http://schemas.openxmlformats.org/officeDocument/2006/relationships/hyperlink" Target="https://bouldercolorado.gov/lighting-compliance-checklist" TargetMode="External"/><Relationship Id="rId55" Type="http://schemas.openxmlformats.org/officeDocument/2006/relationships/hyperlink" Target="https://www-static.bouldercolorado.gov/docs/Guidance_for_Overcoming_Split_Incentives-1-201602031712.pdf" TargetMode="External"/><Relationship Id="rId63"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co.my.xcelenergy.com/s/business/cost-savings/business-energy-assessments" TargetMode="External"/><Relationship Id="rId29" Type="http://schemas.openxmlformats.org/officeDocument/2006/relationships/hyperlink" Target="https://bouldercolorado.gov/sites/default/files/2020-12/qualifiedlistforposting-1-202008241057-1.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o.my.xcelenergy.com/s/business/cost-savings" TargetMode="External"/><Relationship Id="rId32" Type="http://schemas.openxmlformats.org/officeDocument/2006/relationships/hyperlink" Target="https://energysmartyes.com/" TargetMode="External"/><Relationship Id="rId37" Type="http://schemas.openxmlformats.org/officeDocument/2006/relationships/hyperlink" Target="https://www.colorado.gov/pacific/energyoffice/commercial" TargetMode="External"/><Relationship Id="rId40" Type="http://schemas.openxmlformats.org/officeDocument/2006/relationships/hyperlink" Target="https://bouldercolorado.gov/lead/boulder-building-performance-how-to-comply" TargetMode="External"/><Relationship Id="rId45" Type="http://schemas.microsoft.com/office/2016/09/relationships/commentsIds" Target="commentsIds.xml"/><Relationship Id="rId53" Type="http://schemas.openxmlformats.org/officeDocument/2006/relationships/hyperlink" Target="https://bouldercolorado.gov/sites/default/files/2020-12/interiorlightingcomplianceform-sept2020-1-202009141034-1.xlsx" TargetMode="External"/><Relationship Id="rId58" Type="http://schemas.openxmlformats.org/officeDocument/2006/relationships/hyperlink" Target="https://www.energycodes.gov/comcheck" TargetMode="External"/><Relationship Id="rId66"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ashrae.org/technical-resources/bookstore/standards-180-and-211" TargetMode="External"/><Relationship Id="rId23" Type="http://schemas.openxmlformats.org/officeDocument/2006/relationships/hyperlink" Target="https://bouldercolorado.gov/media/4467/download?inline" TargetMode="External"/><Relationship Id="rId28" Type="http://schemas.openxmlformats.org/officeDocument/2006/relationships/hyperlink" Target="https://co.my.xcelenergy.com/s/business/cost-savings/business-energy-assessments" TargetMode="External"/><Relationship Id="rId36" Type="http://schemas.openxmlformats.org/officeDocument/2006/relationships/hyperlink" Target="http://copace.com/" TargetMode="External"/><Relationship Id="rId49" Type="http://schemas.openxmlformats.org/officeDocument/2006/relationships/hyperlink" Target="https://bouldercolorado.gov/services/building-performance-ordinance" TargetMode="External"/><Relationship Id="rId57" Type="http://schemas.openxmlformats.org/officeDocument/2006/relationships/hyperlink" Target="https://bouldercolorado.gov/sites/default/files/2020-12/interiorlightingcomplianceform-sept2020-1-202009141034-1.xlsx" TargetMode="External"/><Relationship Id="rId61"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bouldercolorado.gov/services/building-performance-ordinance" TargetMode="External"/><Relationship Id="rId31" Type="http://schemas.openxmlformats.org/officeDocument/2006/relationships/hyperlink" Target="http://responsiblebynature.com/" TargetMode="External"/><Relationship Id="rId44" Type="http://schemas.microsoft.com/office/2011/relationships/commentsExtended" Target="commentsExtended.xml"/><Relationship Id="rId52" Type="http://schemas.openxmlformats.org/officeDocument/2006/relationships/hyperlink" Target="https://www-static.bouldercolorado.gov/docs/2017_City_of_Boulder_Energy_Conservation_Code_2nd-1-201711151002.pdf?_ga=2.196412972.1060218453.1542644386-1865843188.1539968573" TargetMode="External"/><Relationship Id="rId60" Type="http://schemas.openxmlformats.org/officeDocument/2006/relationships/hyperlink" Target="http://evo-world.org/en/"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ouldercolorado.gov/services/building-performance-ordinance" TargetMode="External"/><Relationship Id="rId22" Type="http://schemas.openxmlformats.org/officeDocument/2006/relationships/hyperlink" Target="https://bouldercolorado.gov/media/4463/download?inline" TargetMode="External"/><Relationship Id="rId27" Type="http://schemas.openxmlformats.org/officeDocument/2006/relationships/hyperlink" Target="https://co.my.xcelenergy.com/s/business/cost-savings/business-energy-assessments" TargetMode="External"/><Relationship Id="rId30" Type="http://schemas.openxmlformats.org/officeDocument/2006/relationships/hyperlink" Target="https://bouldercolorado.gov/services/energy-rebates-resources" TargetMode="External"/><Relationship Id="rId35" Type="http://schemas.openxmlformats.org/officeDocument/2006/relationships/hyperlink" Target="https://www.elevationscu.com/loans/energy-loans" TargetMode="External"/><Relationship Id="rId43" Type="http://schemas.openxmlformats.org/officeDocument/2006/relationships/comments" Target="comments.xml"/><Relationship Id="rId48" Type="http://schemas.openxmlformats.org/officeDocument/2006/relationships/hyperlink" Target="https://bouldercolorado.gov/media/17938/download?inline" TargetMode="External"/><Relationship Id="rId56" Type="http://schemas.openxmlformats.org/officeDocument/2006/relationships/hyperlink" Target="https://bouldercolorado.gov/services/outdoor-lighting-ordinance" TargetMode="External"/><Relationship Id="rId64"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codes.iccsafe.org/content/IECC2012/chapter-4-ce-commercial-energy-efficiency" TargetMode="External"/><Relationship Id="rId3" Type="http://schemas.openxmlformats.org/officeDocument/2006/relationships/customXml" Target="../customXml/item3.xml"/><Relationship Id="rId12" Type="http://schemas.openxmlformats.org/officeDocument/2006/relationships/hyperlink" Target="http://www.BoulderBuildingPerformance.com" TargetMode="External"/><Relationship Id="rId17" Type="http://schemas.openxmlformats.org/officeDocument/2006/relationships/hyperlink" Target="https://bouldercolorado.gov/sites/default/files/2020-12/qualifiedlistforposting-1-202008241057-1.xlsx" TargetMode="External"/><Relationship Id="rId25" Type="http://schemas.openxmlformats.org/officeDocument/2006/relationships/hyperlink" Target="https://www.xcelenergy.com/programs_and_rebates/business_programs_and_rebates" TargetMode="External"/><Relationship Id="rId33" Type="http://schemas.openxmlformats.org/officeDocument/2006/relationships/hyperlink" Target="https://bouldercolorado.gov/services/solar-tax-rebates" TargetMode="External"/><Relationship Id="rId38" Type="http://schemas.openxmlformats.org/officeDocument/2006/relationships/hyperlink" Target="https://www.colorado.gov/pacific/energyoffice/public-energy-performance-contracting" TargetMode="External"/><Relationship Id="rId46" Type="http://schemas.microsoft.com/office/2018/08/relationships/commentsExtensible" Target="commentsExtensible.xml"/><Relationship Id="rId59" Type="http://schemas.openxmlformats.org/officeDocument/2006/relationships/hyperlink" Target="https://bouldercolorado.gov/services/building-performance-ordinance" TargetMode="External"/><Relationship Id="rId67" Type="http://schemas.openxmlformats.org/officeDocument/2006/relationships/theme" Target="theme/theme1.xml"/><Relationship Id="rId20" Type="http://schemas.openxmlformats.org/officeDocument/2006/relationships/hyperlink" Target="https://co.my.xcelenergy.com/s/business/cost-savings/business-energy-assessments" TargetMode="External"/><Relationship Id="rId41" Type="http://schemas.openxmlformats.org/officeDocument/2006/relationships/hyperlink" Target="http://www.energysmartyes.com/business/rebates-financing.html" TargetMode="External"/><Relationship Id="rId54" Type="http://schemas.openxmlformats.org/officeDocument/2006/relationships/hyperlink" Target="https://bouldercolorado.gov/sites/default/files/2020-12/cmrulescieefinalafterposting-1-201812180901.pdf" TargetMode="External"/><Relationship Id="rId6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co.my.xcelenergy.com/s/business/cost-savings" TargetMode="External"/><Relationship Id="rId7" Type="http://schemas.openxmlformats.org/officeDocument/2006/relationships/hyperlink" Target="http://www.nist.gov/traceability/" TargetMode="External"/><Relationship Id="rId2" Type="http://schemas.openxmlformats.org/officeDocument/2006/relationships/hyperlink" Target="http://www.BoulderBuildingPerformance.com" TargetMode="External"/><Relationship Id="rId1" Type="http://schemas.openxmlformats.org/officeDocument/2006/relationships/hyperlink" Target="https://library.municode.com/co/boulder/codes/municipal_code" TargetMode="External"/><Relationship Id="rId6" Type="http://schemas.openxmlformats.org/officeDocument/2006/relationships/hyperlink" Target="https://www.energycodes.gov/comcheck" TargetMode="External"/><Relationship Id="rId5" Type="http://schemas.openxmlformats.org/officeDocument/2006/relationships/hyperlink" Target="https://bouldercolorado.gov/services/outdoor-lighting-ordinance" TargetMode="External"/><Relationship Id="rId4" Type="http://schemas.openxmlformats.org/officeDocument/2006/relationships/hyperlink" Target="https://bouldercolorado.gov/sites/default/files/2020-12/bpoefficiencyreqhowtoguideforboulder2020sept-1-2020.pdf" TargetMode="External"/></Relationships>
</file>

<file path=word/theme/theme1.xml><?xml version="1.0" encoding="utf-8"?>
<a:theme xmlns:a="http://schemas.openxmlformats.org/drawingml/2006/main" name="Office Theme">
  <a:themeElements>
    <a:clrScheme name="Custom 3">
      <a:dk1>
        <a:srgbClr val="FF9900"/>
      </a:dk1>
      <a:lt1>
        <a:sysClr val="window" lastClr="FFFFFF"/>
      </a:lt1>
      <a:dk2>
        <a:srgbClr val="FFFFFF"/>
      </a:dk2>
      <a:lt2>
        <a:srgbClr val="FFFFFF"/>
      </a:lt2>
      <a:accent1>
        <a:srgbClr val="006666"/>
      </a:accent1>
      <a:accent2>
        <a:srgbClr val="006666"/>
      </a:accent2>
      <a:accent3>
        <a:srgbClr val="006666"/>
      </a:accent3>
      <a:accent4>
        <a:srgbClr val="006666"/>
      </a:accent4>
      <a:accent5>
        <a:srgbClr val="006666"/>
      </a:accent5>
      <a:accent6>
        <a:srgbClr val="006666"/>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0314EDECDC3E408AA8DC6E865F38F6" ma:contentTypeVersion="22" ma:contentTypeDescription="Create a new document." ma:contentTypeScope="" ma:versionID="a0472682a17e8c485b94d3ef4ead560b">
  <xsd:schema xmlns:xsd="http://www.w3.org/2001/XMLSchema" xmlns:xs="http://www.w3.org/2001/XMLSchema" xmlns:p="http://schemas.microsoft.com/office/2006/metadata/properties" xmlns:ns2="1a00750f-d101-47d7-b42c-3755e39e899d" xmlns:ns3="6967e8fb-135a-4813-91f6-dfd143e5f1f5" xmlns:ns4="a185a935-ba3f-496a-b001-2f31da7152f8" xmlns:ns5="fa5a287d-e8d7-4515-878e-e2d26d40b308" targetNamespace="http://schemas.microsoft.com/office/2006/metadata/properties" ma:root="true" ma:fieldsID="ef221d3e557715ae6cc52cc932536135" ns2:_="" ns3:_="" ns4:_="" ns5:_="">
    <xsd:import namespace="1a00750f-d101-47d7-b42c-3755e39e899d"/>
    <xsd:import namespace="6967e8fb-135a-4813-91f6-dfd143e5f1f5"/>
    <xsd:import namespace="a185a935-ba3f-496a-b001-2f31da7152f8"/>
    <xsd:import namespace="fa5a287d-e8d7-4515-878e-e2d26d40b3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0750f-d101-47d7-b42c-3755e39e8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67e8fb-135a-4813-91f6-dfd143e5f1f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85a935-ba3f-496a-b001-2f31da7152f8" elementFormDefault="qualified">
    <xsd:import namespace="http://schemas.microsoft.com/office/2006/documentManagement/types"/>
    <xsd:import namespace="http://schemas.microsoft.com/office/infopath/2007/PartnerControls"/>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132f65-3f16-4ed5-aad9-a4730df2f0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5a287d-e8d7-4515-878e-e2d26d40b30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b848c5e-4a01-4470-aae2-b676f4557d41}" ma:internalName="TaxCatchAll" ma:showField="CatchAllData" ma:web="fa5a287d-e8d7-4515-878e-e2d26d40b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967e8fb-135a-4813-91f6-dfd143e5f1f5">
      <UserInfo>
        <DisplayName>Nicli, Layra</DisplayName>
        <AccountId>919</AccountId>
        <AccountType/>
      </UserInfo>
    </SharedWithUsers>
    <TaxCatchAll xmlns="fa5a287d-e8d7-4515-878e-e2d26d40b308" xsi:nil="true"/>
    <lcf76f155ced4ddcb4097134ff3c332f xmlns="a185a935-ba3f-496a-b001-2f31da7152f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8CF406-2BCA-4344-A50D-70FA94EE5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00750f-d101-47d7-b42c-3755e39e899d"/>
    <ds:schemaRef ds:uri="6967e8fb-135a-4813-91f6-dfd143e5f1f5"/>
    <ds:schemaRef ds:uri="a185a935-ba3f-496a-b001-2f31da7152f8"/>
    <ds:schemaRef ds:uri="fa5a287d-e8d7-4515-878e-e2d26d40b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D2445F-1627-4CCA-B067-E132CF61A5A9}">
  <ds:schemaRefs>
    <ds:schemaRef ds:uri="http://schemas.microsoft.com/office/2006/metadata/properties"/>
    <ds:schemaRef ds:uri="http://schemas.microsoft.com/office/infopath/2007/PartnerControls"/>
    <ds:schemaRef ds:uri="6967e8fb-135a-4813-91f6-dfd143e5f1f5"/>
    <ds:schemaRef ds:uri="fa5a287d-e8d7-4515-878e-e2d26d40b308"/>
    <ds:schemaRef ds:uri="a185a935-ba3f-496a-b001-2f31da7152f8"/>
  </ds:schemaRefs>
</ds:datastoreItem>
</file>

<file path=customXml/itemProps3.xml><?xml version="1.0" encoding="utf-8"?>
<ds:datastoreItem xmlns:ds="http://schemas.openxmlformats.org/officeDocument/2006/customXml" ds:itemID="{75558DFA-BA8B-4E4D-B181-A36828836E53}">
  <ds:schemaRefs>
    <ds:schemaRef ds:uri="http://schemas.openxmlformats.org/officeDocument/2006/bibliography"/>
  </ds:schemaRefs>
</ds:datastoreItem>
</file>

<file path=customXml/itemProps4.xml><?xml version="1.0" encoding="utf-8"?>
<ds:datastoreItem xmlns:ds="http://schemas.openxmlformats.org/officeDocument/2006/customXml" ds:itemID="{B349F813-7A66-4F22-8E42-CC5189B3A67E}">
  <ds:schemaRefs>
    <ds:schemaRef ds:uri="http://schemas.openxmlformats.org/officeDocument/2006/bibliography"/>
  </ds:schemaRefs>
</ds:datastoreItem>
</file>

<file path=customXml/itemProps5.xml><?xml version="1.0" encoding="utf-8"?>
<ds:datastoreItem xmlns:ds="http://schemas.openxmlformats.org/officeDocument/2006/customXml" ds:itemID="{325D41D1-F5C4-4CE0-90FE-4F15D97E8F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21</Pages>
  <Words>8105</Words>
  <Characters>46525</Characters>
  <Application>Microsoft Office Word</Application>
  <DocSecurity>2</DocSecurity>
  <Lines>969</Lines>
  <Paragraphs>505</Paragraphs>
  <ScaleCrop>false</ScaleCrop>
  <HeadingPairs>
    <vt:vector size="2" baseType="variant">
      <vt:variant>
        <vt:lpstr>Title</vt:lpstr>
      </vt:variant>
      <vt:variant>
        <vt:i4>1</vt:i4>
      </vt:variant>
    </vt:vector>
  </HeadingPairs>
  <TitlesOfParts>
    <vt:vector size="1" baseType="lpstr">
      <vt:lpstr/>
    </vt:vector>
  </TitlesOfParts>
  <Company>City of Boulder IT</Company>
  <LinksUpToDate>false</LinksUpToDate>
  <CharactersWithSpaces>54125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Naeb, Jacob               NOR</dc:creator>
  <cp:lastModifiedBy>Nicli, Layra</cp:lastModifiedBy>
  <cp:revision>24</cp:revision>
  <cp:lastPrinted>2022-04-01T21:55:00Z</cp:lastPrinted>
  <dcterms:created xsi:type="dcterms:W3CDTF">2022-04-01T21:54:00Z</dcterms:created>
  <dcterms:modified xsi:type="dcterms:W3CDTF">2025-06-27T02:13:00Z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0x0101003F0314EDECDC3E408AA8DC6E865F38F6</vt:lpwstr>
  </property>
  <property fmtid="{D5CDD505-2E9C-101B-9397-08002B2CF9AE}" pid="3" name="AuthorIds_UIVersion_1024">
    <vt:lpwstr>24</vt:lpwstr>
  </property>
  <property fmtid="{D5CDD505-2E9C-101B-9397-08002B2CF9AE}" pid="4" name="GUID">
    <vt:lpwstr>be27e596-29d1-463b-b4b0-374fcf879472</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GrammarlyDocumentId">
    <vt:lpwstr>d9a2f987-d64e-4baa-8336-d561c432f8fc</vt:lpwstr>
  </property>
</Properties>
</file>